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right"/>
        <w:rPr>
          <w:rFonts w:hint="default" w:ascii="Times New Roman" w:hAnsi="Times New Roman" w:eastAsia="仿宋" w:cs="Times New Roman"/>
          <w:b/>
          <w:sz w:val="32"/>
          <w:szCs w:val="32"/>
          <w:lang w:val="en-US" w:eastAsia="zh-CN"/>
        </w:rPr>
      </w:pPr>
      <w:r>
        <w:rPr>
          <w:rFonts w:hint="eastAsia" w:ascii="Times New Roman" w:hAnsi="Times New Roman" w:eastAsia="仿宋" w:cs="Times New Roman"/>
          <w:b/>
          <w:sz w:val="32"/>
          <w:szCs w:val="32"/>
          <w:lang w:val="en-US" w:eastAsia="zh-CN"/>
        </w:rPr>
        <w:t>项目编号：南江农科BGJJ-2021-1号</w:t>
      </w:r>
    </w:p>
    <w:p>
      <w:pPr>
        <w:spacing w:before="156" w:beforeLines="50" w:line="600" w:lineRule="exact"/>
        <w:jc w:val="center"/>
        <w:rPr>
          <w:rFonts w:hint="eastAsia" w:ascii="Times New Roman" w:hAnsi="Times New Roman" w:eastAsia="方正小标宋_GBK" w:cs="Times New Roman"/>
          <w:b/>
          <w:spacing w:val="24"/>
          <w:sz w:val="48"/>
          <w:szCs w:val="48"/>
          <w:lang w:val="en-US" w:eastAsia="zh-CN"/>
        </w:rPr>
      </w:pPr>
    </w:p>
    <w:p>
      <w:pPr>
        <w:spacing w:before="156" w:beforeLines="50" w:line="600" w:lineRule="exact"/>
        <w:jc w:val="center"/>
        <w:rPr>
          <w:rFonts w:ascii="Times New Roman" w:hAnsi="Times New Roman" w:eastAsia="方正小标宋_GBK" w:cs="Times New Roman"/>
          <w:b/>
          <w:spacing w:val="24"/>
          <w:sz w:val="48"/>
          <w:szCs w:val="48"/>
        </w:rPr>
      </w:pPr>
      <w:r>
        <w:rPr>
          <w:rFonts w:hint="eastAsia" w:ascii="Times New Roman" w:hAnsi="Times New Roman" w:eastAsia="方正小标宋_GBK" w:cs="Times New Roman"/>
          <w:b/>
          <w:spacing w:val="24"/>
          <w:sz w:val="48"/>
          <w:szCs w:val="48"/>
          <w:lang w:val="en-US" w:eastAsia="zh-CN"/>
        </w:rPr>
        <w:t>南江农科村镇银行</w:t>
      </w:r>
      <w:r>
        <w:rPr>
          <w:rFonts w:ascii="Times New Roman" w:hAnsi="Times New Roman" w:eastAsia="方正小标宋_GBK" w:cs="Times New Roman"/>
          <w:b/>
          <w:spacing w:val="24"/>
          <w:sz w:val="48"/>
          <w:szCs w:val="48"/>
        </w:rPr>
        <w:t>办公家具采购</w:t>
      </w:r>
    </w:p>
    <w:p>
      <w:pPr>
        <w:spacing w:before="156" w:beforeLines="50" w:line="600" w:lineRule="exact"/>
        <w:jc w:val="center"/>
        <w:rPr>
          <w:rFonts w:ascii="Times New Roman" w:hAnsi="Times New Roman" w:eastAsia="方正小标宋_GBK" w:cs="Times New Roman"/>
          <w:b/>
          <w:spacing w:val="24"/>
          <w:sz w:val="48"/>
          <w:szCs w:val="48"/>
        </w:rPr>
      </w:pPr>
      <w:r>
        <w:rPr>
          <w:rFonts w:ascii="Times New Roman" w:hAnsi="Times New Roman" w:eastAsia="方正小标宋_GBK" w:cs="Times New Roman"/>
          <w:b/>
          <w:spacing w:val="24"/>
          <w:sz w:val="48"/>
          <w:szCs w:val="48"/>
        </w:rPr>
        <w:t>项目</w:t>
      </w:r>
    </w:p>
    <w:p>
      <w:pPr>
        <w:spacing w:before="1092" w:beforeLines="350" w:after="1092" w:afterLines="350" w:line="800" w:lineRule="exact"/>
        <w:jc w:val="center"/>
        <w:rPr>
          <w:rFonts w:ascii="Times New Roman" w:hAnsi="Times New Roman" w:eastAsia="方正小标宋_GBK" w:cs="Times New Roman"/>
          <w:b/>
          <w:sz w:val="72"/>
          <w:szCs w:val="72"/>
        </w:rPr>
      </w:pPr>
      <w:r>
        <w:rPr>
          <w:rFonts w:ascii="Times New Roman" w:hAnsi="Times New Roman" w:eastAsia="方正小标宋_GBK" w:cs="Times New Roman"/>
          <w:b/>
          <w:sz w:val="72"/>
          <w:szCs w:val="72"/>
        </w:rPr>
        <w:t>招</w:t>
      </w:r>
    </w:p>
    <w:p>
      <w:pPr>
        <w:spacing w:before="1092" w:beforeLines="350" w:after="1092" w:afterLines="350" w:line="800" w:lineRule="exact"/>
        <w:jc w:val="center"/>
        <w:rPr>
          <w:rFonts w:ascii="Times New Roman" w:hAnsi="Times New Roman" w:eastAsia="方正小标宋_GBK" w:cs="Times New Roman"/>
          <w:b/>
          <w:sz w:val="72"/>
          <w:szCs w:val="72"/>
        </w:rPr>
      </w:pPr>
      <w:r>
        <w:rPr>
          <w:rFonts w:ascii="Times New Roman" w:hAnsi="Times New Roman" w:eastAsia="方正小标宋_GBK" w:cs="Times New Roman"/>
          <w:b/>
          <w:sz w:val="72"/>
          <w:szCs w:val="72"/>
        </w:rPr>
        <w:t>标</w:t>
      </w:r>
    </w:p>
    <w:p>
      <w:pPr>
        <w:spacing w:before="1092" w:beforeLines="350" w:after="1092" w:afterLines="350" w:line="800" w:lineRule="exact"/>
        <w:jc w:val="center"/>
        <w:rPr>
          <w:rFonts w:ascii="Times New Roman" w:hAnsi="Times New Roman" w:eastAsia="方正小标宋_GBK" w:cs="Times New Roman"/>
          <w:b/>
          <w:sz w:val="72"/>
          <w:szCs w:val="72"/>
        </w:rPr>
      </w:pPr>
      <w:r>
        <w:rPr>
          <w:rFonts w:ascii="Times New Roman" w:hAnsi="Times New Roman" w:eastAsia="方正小标宋_GBK" w:cs="Times New Roman"/>
          <w:b/>
          <w:sz w:val="72"/>
          <w:szCs w:val="72"/>
        </w:rPr>
        <w:t>文</w:t>
      </w:r>
    </w:p>
    <w:p>
      <w:pPr>
        <w:spacing w:before="1092" w:beforeLines="350" w:after="1092" w:afterLines="350" w:line="800" w:lineRule="exact"/>
        <w:jc w:val="center"/>
        <w:rPr>
          <w:rFonts w:ascii="Times New Roman" w:hAnsi="Times New Roman" w:eastAsia="方正小标宋_GBK" w:cs="Times New Roman"/>
          <w:b/>
          <w:sz w:val="72"/>
          <w:szCs w:val="72"/>
        </w:rPr>
      </w:pPr>
      <w:r>
        <w:rPr>
          <w:rFonts w:ascii="Times New Roman" w:hAnsi="Times New Roman" w:eastAsia="方正小标宋_GBK" w:cs="Times New Roman"/>
          <w:b/>
          <w:sz w:val="72"/>
          <w:szCs w:val="72"/>
        </w:rPr>
        <w:t>件</w:t>
      </w:r>
    </w:p>
    <w:p>
      <w:pPr>
        <w:spacing w:line="440" w:lineRule="exact"/>
        <w:jc w:val="center"/>
        <w:rPr>
          <w:rFonts w:hint="eastAsia" w:ascii="Times New Roman" w:hAnsi="Times New Roman" w:eastAsia="黑体" w:cs="Times New Roman"/>
          <w:b/>
          <w:sz w:val="36"/>
          <w:szCs w:val="36"/>
          <w:lang w:eastAsia="zh-CN"/>
        </w:rPr>
      </w:pPr>
      <w:r>
        <w:rPr>
          <w:rFonts w:hint="eastAsia" w:ascii="Times New Roman" w:hAnsi="Times New Roman" w:eastAsia="黑体" w:cs="Times New Roman"/>
          <w:b/>
          <w:sz w:val="36"/>
          <w:szCs w:val="36"/>
          <w:lang w:val="en-US" w:eastAsia="zh-CN"/>
        </w:rPr>
        <w:t>南江农科村镇银行</w:t>
      </w:r>
    </w:p>
    <w:p>
      <w:pPr>
        <w:spacing w:line="440" w:lineRule="exact"/>
        <w:jc w:val="center"/>
        <w:rPr>
          <w:rFonts w:ascii="Times New Roman" w:hAnsi="Times New Roman" w:eastAsia="黑体" w:cs="Times New Roman"/>
          <w:b/>
          <w:sz w:val="36"/>
          <w:szCs w:val="36"/>
        </w:rPr>
      </w:pPr>
      <w:r>
        <w:rPr>
          <w:rFonts w:ascii="Times New Roman" w:hAnsi="Times New Roman" w:eastAsia="黑体" w:cs="Times New Roman"/>
          <w:b/>
          <w:sz w:val="36"/>
          <w:szCs w:val="36"/>
        </w:rPr>
        <w:t>202</w:t>
      </w:r>
      <w:r>
        <w:rPr>
          <w:rFonts w:hint="eastAsia" w:ascii="Times New Roman" w:hAnsi="Times New Roman" w:eastAsia="黑体" w:cs="Times New Roman"/>
          <w:b/>
          <w:sz w:val="36"/>
          <w:szCs w:val="36"/>
          <w:lang w:val="en-US" w:eastAsia="zh-CN"/>
        </w:rPr>
        <w:t>1</w:t>
      </w:r>
      <w:r>
        <w:rPr>
          <w:rFonts w:ascii="Times New Roman" w:hAnsi="Times New Roman" w:eastAsia="黑体" w:cs="Times New Roman"/>
          <w:b/>
          <w:bCs/>
          <w:sz w:val="36"/>
          <w:szCs w:val="36"/>
          <w:lang w:val="zh-CN"/>
        </w:rPr>
        <w:t>年</w:t>
      </w:r>
      <w:r>
        <w:rPr>
          <w:rFonts w:hint="eastAsia" w:ascii="Times New Roman" w:hAnsi="Times New Roman" w:eastAsia="黑体" w:cs="Times New Roman"/>
          <w:b/>
          <w:sz w:val="36"/>
          <w:szCs w:val="36"/>
          <w:lang w:val="en-US" w:eastAsia="zh-CN"/>
        </w:rPr>
        <w:t>5</w:t>
      </w:r>
      <w:r>
        <w:rPr>
          <w:rFonts w:ascii="Times New Roman" w:hAnsi="Times New Roman" w:eastAsia="黑体" w:cs="Times New Roman"/>
          <w:b/>
          <w:bCs/>
          <w:sz w:val="36"/>
          <w:szCs w:val="36"/>
          <w:lang w:val="zh-CN"/>
        </w:rPr>
        <w:t>月</w:t>
      </w:r>
    </w:p>
    <w:p>
      <w:pPr>
        <w:widowControl/>
        <w:jc w:val="left"/>
        <w:rPr>
          <w:rFonts w:ascii="Times New Roman" w:hAnsi="Times New Roman" w:eastAsia="方正小标宋简体" w:cs="Times New Roman"/>
          <w:b/>
          <w:sz w:val="44"/>
          <w:szCs w:val="44"/>
        </w:rPr>
      </w:pPr>
      <w:r>
        <w:rPr>
          <w:rFonts w:ascii="Times New Roman" w:hAnsi="Times New Roman" w:eastAsia="方正小标宋简体" w:cs="Times New Roman"/>
          <w:b/>
          <w:sz w:val="44"/>
          <w:szCs w:val="44"/>
        </w:rPr>
        <w:br w:type="page"/>
      </w:r>
    </w:p>
    <w:p>
      <w:pPr>
        <w:snapToGrid w:val="0"/>
        <w:spacing w:line="540" w:lineRule="exact"/>
        <w:jc w:val="center"/>
        <w:rPr>
          <w:rFonts w:ascii="Times New Roman" w:hAnsi="Times New Roman" w:eastAsia="黑体" w:cs="Times New Roman"/>
          <w:b/>
          <w:sz w:val="44"/>
          <w:szCs w:val="44"/>
        </w:rPr>
      </w:pPr>
      <w:r>
        <w:rPr>
          <w:rFonts w:ascii="Times New Roman" w:hAnsi="Times New Roman" w:eastAsia="黑体" w:cs="Times New Roman"/>
          <w:b/>
          <w:sz w:val="44"/>
          <w:szCs w:val="44"/>
        </w:rPr>
        <w:t>目    录</w:t>
      </w:r>
    </w:p>
    <w:p>
      <w:pPr>
        <w:snapToGrid w:val="0"/>
        <w:spacing w:line="540" w:lineRule="exact"/>
        <w:jc w:val="center"/>
        <w:rPr>
          <w:rFonts w:ascii="Times New Roman" w:hAnsi="Times New Roman" w:eastAsia="黑体" w:cs="Times New Roman"/>
          <w:b/>
          <w:sz w:val="44"/>
          <w:szCs w:val="44"/>
        </w:rPr>
      </w:pPr>
    </w:p>
    <w:sdt>
      <w:sdtPr>
        <w:rPr>
          <w:rStyle w:val="19"/>
          <w:rFonts w:ascii="Times New Roman" w:hAnsi="Times New Roman" w:eastAsia="仿宋" w:cs="Times New Roman"/>
          <w:bCs/>
          <w:color w:val="auto"/>
          <w:sz w:val="32"/>
          <w:szCs w:val="32"/>
        </w:rPr>
        <w:id w:val="-932980723"/>
        <w:docPartObj>
          <w:docPartGallery w:val="Table of Contents"/>
          <w:docPartUnique/>
        </w:docPartObj>
      </w:sdtPr>
      <w:sdtEndPr>
        <w:rPr>
          <w:rStyle w:val="19"/>
          <w:rFonts w:ascii="Times New Roman" w:hAnsi="Times New Roman" w:eastAsia="仿宋" w:cs="Times New Roman"/>
          <w:bCs/>
          <w:color w:val="auto"/>
          <w:sz w:val="32"/>
          <w:szCs w:val="32"/>
        </w:rPr>
      </w:sdtEndPr>
      <w:sdtContent>
        <w:p>
          <w:pPr>
            <w:pStyle w:val="13"/>
            <w:tabs>
              <w:tab w:val="right" w:leader="dot" w:pos="8210"/>
            </w:tabs>
            <w:spacing w:before="780" w:beforeLines="250" w:after="780" w:afterLines="250"/>
            <w:jc w:val="left"/>
            <w:rPr>
              <w:rStyle w:val="19"/>
              <w:rFonts w:ascii="Times New Roman" w:hAnsi="Times New Roman" w:eastAsia="仿宋" w:cs="Times New Roman"/>
              <w:bCs/>
              <w:color w:val="auto"/>
              <w:sz w:val="32"/>
              <w:szCs w:val="32"/>
            </w:rPr>
          </w:pPr>
          <w:r>
            <w:rPr>
              <w:rStyle w:val="19"/>
              <w:rFonts w:ascii="Times New Roman" w:hAnsi="Times New Roman" w:eastAsia="仿宋" w:cs="Times New Roman"/>
              <w:bCs/>
              <w:color w:val="auto"/>
              <w:sz w:val="32"/>
              <w:szCs w:val="32"/>
            </w:rPr>
            <w:fldChar w:fldCharType="begin"/>
          </w:r>
          <w:r>
            <w:rPr>
              <w:rStyle w:val="19"/>
              <w:rFonts w:ascii="Times New Roman" w:hAnsi="Times New Roman" w:eastAsia="仿宋" w:cs="Times New Roman"/>
              <w:bCs/>
              <w:color w:val="auto"/>
              <w:sz w:val="32"/>
              <w:szCs w:val="32"/>
            </w:rPr>
            <w:instrText xml:space="preserve"> TOC \o "1-3" \h \z \u </w:instrText>
          </w:r>
          <w:r>
            <w:rPr>
              <w:rStyle w:val="19"/>
              <w:rFonts w:ascii="Times New Roman" w:hAnsi="Times New Roman" w:eastAsia="仿宋" w:cs="Times New Roman"/>
              <w:bCs/>
              <w:color w:val="auto"/>
              <w:sz w:val="32"/>
              <w:szCs w:val="32"/>
            </w:rPr>
            <w:fldChar w:fldCharType="separate"/>
          </w:r>
          <w:r>
            <w:fldChar w:fldCharType="begin"/>
          </w:r>
          <w:r>
            <w:instrText xml:space="preserve"> HYPERLINK \l "_Toc20234158" </w:instrText>
          </w:r>
          <w:r>
            <w:fldChar w:fldCharType="separate"/>
          </w:r>
          <w:r>
            <w:rPr>
              <w:rStyle w:val="19"/>
              <w:rFonts w:ascii="Times New Roman" w:hAnsi="Times New Roman" w:eastAsia="仿宋" w:cs="Times New Roman"/>
              <w:bCs/>
              <w:color w:val="auto"/>
              <w:sz w:val="32"/>
              <w:szCs w:val="32"/>
            </w:rPr>
            <w:t>第一章 投标邀请</w:t>
          </w:r>
          <w:r>
            <w:rPr>
              <w:rStyle w:val="19"/>
              <w:rFonts w:ascii="Times New Roman" w:hAnsi="Times New Roman" w:eastAsia="仿宋" w:cs="Times New Roman"/>
              <w:bCs/>
              <w:color w:val="auto"/>
              <w:sz w:val="32"/>
              <w:szCs w:val="32"/>
            </w:rPr>
            <w:tab/>
          </w:r>
          <w:r>
            <w:rPr>
              <w:rStyle w:val="19"/>
              <w:rFonts w:ascii="Times New Roman" w:hAnsi="Times New Roman" w:eastAsia="仿宋" w:cs="Times New Roman"/>
              <w:bCs/>
              <w:color w:val="auto"/>
              <w:sz w:val="32"/>
              <w:szCs w:val="32"/>
            </w:rPr>
            <w:fldChar w:fldCharType="begin"/>
          </w:r>
          <w:r>
            <w:rPr>
              <w:rStyle w:val="19"/>
              <w:rFonts w:ascii="Times New Roman" w:hAnsi="Times New Roman" w:eastAsia="仿宋" w:cs="Times New Roman"/>
              <w:bCs/>
              <w:color w:val="auto"/>
              <w:sz w:val="32"/>
              <w:szCs w:val="32"/>
            </w:rPr>
            <w:instrText xml:space="preserve"> PAGEREF _Toc20234158 \h </w:instrText>
          </w:r>
          <w:r>
            <w:rPr>
              <w:rStyle w:val="19"/>
              <w:rFonts w:ascii="Times New Roman" w:hAnsi="Times New Roman" w:eastAsia="仿宋" w:cs="Times New Roman"/>
              <w:bCs/>
              <w:color w:val="auto"/>
              <w:sz w:val="32"/>
              <w:szCs w:val="32"/>
            </w:rPr>
            <w:fldChar w:fldCharType="separate"/>
          </w:r>
          <w:r>
            <w:rPr>
              <w:rStyle w:val="19"/>
              <w:rFonts w:ascii="Times New Roman" w:hAnsi="Times New Roman" w:eastAsia="仿宋" w:cs="Times New Roman"/>
              <w:bCs/>
              <w:color w:val="auto"/>
              <w:sz w:val="32"/>
              <w:szCs w:val="32"/>
            </w:rPr>
            <w:t>1</w:t>
          </w:r>
          <w:r>
            <w:rPr>
              <w:rStyle w:val="19"/>
              <w:rFonts w:ascii="Times New Roman" w:hAnsi="Times New Roman" w:eastAsia="仿宋" w:cs="Times New Roman"/>
              <w:bCs/>
              <w:color w:val="auto"/>
              <w:sz w:val="32"/>
              <w:szCs w:val="32"/>
            </w:rPr>
            <w:fldChar w:fldCharType="end"/>
          </w:r>
          <w:r>
            <w:rPr>
              <w:rStyle w:val="19"/>
              <w:rFonts w:ascii="Times New Roman" w:hAnsi="Times New Roman" w:eastAsia="仿宋" w:cs="Times New Roman"/>
              <w:bCs/>
              <w:color w:val="auto"/>
              <w:sz w:val="32"/>
              <w:szCs w:val="32"/>
            </w:rPr>
            <w:fldChar w:fldCharType="end"/>
          </w:r>
        </w:p>
        <w:p>
          <w:pPr>
            <w:pStyle w:val="13"/>
            <w:tabs>
              <w:tab w:val="right" w:leader="dot" w:pos="8210"/>
            </w:tabs>
            <w:spacing w:before="780" w:beforeLines="250" w:after="780" w:afterLines="250"/>
            <w:jc w:val="left"/>
            <w:rPr>
              <w:rStyle w:val="19"/>
              <w:rFonts w:ascii="Times New Roman" w:hAnsi="Times New Roman" w:eastAsia="仿宋" w:cs="Times New Roman"/>
              <w:bCs/>
              <w:color w:val="auto"/>
              <w:sz w:val="32"/>
              <w:szCs w:val="32"/>
            </w:rPr>
          </w:pPr>
          <w:r>
            <w:fldChar w:fldCharType="begin"/>
          </w:r>
          <w:r>
            <w:instrText xml:space="preserve"> HYPERLINK \l "_Toc20234159" </w:instrText>
          </w:r>
          <w:r>
            <w:fldChar w:fldCharType="separate"/>
          </w:r>
          <w:r>
            <w:rPr>
              <w:rStyle w:val="19"/>
              <w:rFonts w:ascii="Times New Roman" w:hAnsi="Times New Roman" w:eastAsia="仿宋" w:cs="Times New Roman"/>
              <w:bCs/>
              <w:color w:val="auto"/>
              <w:sz w:val="32"/>
              <w:szCs w:val="32"/>
            </w:rPr>
            <w:t>第二章 投标人须知</w:t>
          </w:r>
          <w:r>
            <w:rPr>
              <w:rStyle w:val="19"/>
              <w:rFonts w:ascii="Times New Roman" w:hAnsi="Times New Roman" w:eastAsia="仿宋" w:cs="Times New Roman"/>
              <w:bCs/>
              <w:color w:val="auto"/>
              <w:sz w:val="32"/>
              <w:szCs w:val="32"/>
            </w:rPr>
            <w:tab/>
          </w:r>
          <w:r>
            <w:rPr>
              <w:rStyle w:val="19"/>
              <w:rFonts w:ascii="Times New Roman" w:hAnsi="Times New Roman" w:eastAsia="仿宋" w:cs="Times New Roman"/>
              <w:bCs/>
              <w:color w:val="auto"/>
              <w:sz w:val="32"/>
              <w:szCs w:val="32"/>
            </w:rPr>
            <w:fldChar w:fldCharType="begin"/>
          </w:r>
          <w:r>
            <w:rPr>
              <w:rStyle w:val="19"/>
              <w:rFonts w:ascii="Times New Roman" w:hAnsi="Times New Roman" w:eastAsia="仿宋" w:cs="Times New Roman"/>
              <w:bCs/>
              <w:color w:val="auto"/>
              <w:sz w:val="32"/>
              <w:szCs w:val="32"/>
            </w:rPr>
            <w:instrText xml:space="preserve"> PAGEREF _Toc20234159 \h </w:instrText>
          </w:r>
          <w:r>
            <w:rPr>
              <w:rStyle w:val="19"/>
              <w:rFonts w:ascii="Times New Roman" w:hAnsi="Times New Roman" w:eastAsia="仿宋" w:cs="Times New Roman"/>
              <w:bCs/>
              <w:color w:val="auto"/>
              <w:sz w:val="32"/>
              <w:szCs w:val="32"/>
            </w:rPr>
            <w:fldChar w:fldCharType="separate"/>
          </w:r>
          <w:r>
            <w:rPr>
              <w:rStyle w:val="19"/>
              <w:rFonts w:ascii="Times New Roman" w:hAnsi="Times New Roman" w:eastAsia="仿宋" w:cs="Times New Roman"/>
              <w:bCs/>
              <w:color w:val="auto"/>
              <w:sz w:val="32"/>
              <w:szCs w:val="32"/>
            </w:rPr>
            <w:t>3</w:t>
          </w:r>
          <w:r>
            <w:rPr>
              <w:rStyle w:val="19"/>
              <w:rFonts w:ascii="Times New Roman" w:hAnsi="Times New Roman" w:eastAsia="仿宋" w:cs="Times New Roman"/>
              <w:bCs/>
              <w:color w:val="auto"/>
              <w:sz w:val="32"/>
              <w:szCs w:val="32"/>
            </w:rPr>
            <w:fldChar w:fldCharType="end"/>
          </w:r>
          <w:r>
            <w:rPr>
              <w:rStyle w:val="19"/>
              <w:rFonts w:ascii="Times New Roman" w:hAnsi="Times New Roman" w:eastAsia="仿宋" w:cs="Times New Roman"/>
              <w:bCs/>
              <w:color w:val="auto"/>
              <w:sz w:val="32"/>
              <w:szCs w:val="32"/>
            </w:rPr>
            <w:fldChar w:fldCharType="end"/>
          </w:r>
        </w:p>
        <w:p>
          <w:pPr>
            <w:pStyle w:val="13"/>
            <w:tabs>
              <w:tab w:val="right" w:leader="dot" w:pos="8210"/>
            </w:tabs>
            <w:spacing w:before="780" w:beforeLines="250" w:after="780" w:afterLines="250"/>
            <w:jc w:val="left"/>
            <w:rPr>
              <w:rStyle w:val="19"/>
              <w:rFonts w:ascii="Times New Roman" w:hAnsi="Times New Roman" w:eastAsia="仿宋" w:cs="Times New Roman"/>
              <w:bCs/>
              <w:color w:val="auto"/>
              <w:sz w:val="32"/>
              <w:szCs w:val="32"/>
            </w:rPr>
          </w:pPr>
          <w:r>
            <w:fldChar w:fldCharType="begin"/>
          </w:r>
          <w:r>
            <w:instrText xml:space="preserve"> HYPERLINK \l "_Toc20234160" </w:instrText>
          </w:r>
          <w:r>
            <w:fldChar w:fldCharType="separate"/>
          </w:r>
          <w:r>
            <w:rPr>
              <w:rStyle w:val="19"/>
              <w:rFonts w:ascii="Times New Roman" w:hAnsi="Times New Roman" w:eastAsia="仿宋" w:cs="Times New Roman"/>
              <w:bCs/>
              <w:color w:val="auto"/>
              <w:sz w:val="32"/>
              <w:szCs w:val="32"/>
            </w:rPr>
            <w:t>第三章 投标文件格式</w:t>
          </w:r>
          <w:r>
            <w:rPr>
              <w:rStyle w:val="19"/>
              <w:rFonts w:ascii="Times New Roman" w:hAnsi="Times New Roman" w:eastAsia="仿宋" w:cs="Times New Roman"/>
              <w:bCs/>
              <w:color w:val="auto"/>
              <w:sz w:val="32"/>
              <w:szCs w:val="32"/>
            </w:rPr>
            <w:tab/>
          </w:r>
          <w:r>
            <w:rPr>
              <w:rStyle w:val="19"/>
              <w:rFonts w:ascii="Times New Roman" w:hAnsi="Times New Roman" w:eastAsia="仿宋" w:cs="Times New Roman"/>
              <w:bCs/>
              <w:color w:val="auto"/>
              <w:sz w:val="32"/>
              <w:szCs w:val="32"/>
            </w:rPr>
            <w:fldChar w:fldCharType="begin"/>
          </w:r>
          <w:r>
            <w:rPr>
              <w:rStyle w:val="19"/>
              <w:rFonts w:ascii="Times New Roman" w:hAnsi="Times New Roman" w:eastAsia="仿宋" w:cs="Times New Roman"/>
              <w:bCs/>
              <w:color w:val="auto"/>
              <w:sz w:val="32"/>
              <w:szCs w:val="32"/>
            </w:rPr>
            <w:instrText xml:space="preserve"> PAGEREF _Toc20234160 \h </w:instrText>
          </w:r>
          <w:r>
            <w:rPr>
              <w:rStyle w:val="19"/>
              <w:rFonts w:ascii="Times New Roman" w:hAnsi="Times New Roman" w:eastAsia="仿宋" w:cs="Times New Roman"/>
              <w:bCs/>
              <w:color w:val="auto"/>
              <w:sz w:val="32"/>
              <w:szCs w:val="32"/>
            </w:rPr>
            <w:fldChar w:fldCharType="separate"/>
          </w:r>
          <w:r>
            <w:rPr>
              <w:rStyle w:val="19"/>
              <w:rFonts w:ascii="Times New Roman" w:hAnsi="Times New Roman" w:eastAsia="仿宋" w:cs="Times New Roman"/>
              <w:bCs/>
              <w:color w:val="auto"/>
              <w:sz w:val="32"/>
              <w:szCs w:val="32"/>
            </w:rPr>
            <w:t>18</w:t>
          </w:r>
          <w:r>
            <w:rPr>
              <w:rStyle w:val="19"/>
              <w:rFonts w:ascii="Times New Roman" w:hAnsi="Times New Roman" w:eastAsia="仿宋" w:cs="Times New Roman"/>
              <w:bCs/>
              <w:color w:val="auto"/>
              <w:sz w:val="32"/>
              <w:szCs w:val="32"/>
            </w:rPr>
            <w:fldChar w:fldCharType="end"/>
          </w:r>
          <w:r>
            <w:rPr>
              <w:rStyle w:val="19"/>
              <w:rFonts w:ascii="Times New Roman" w:hAnsi="Times New Roman" w:eastAsia="仿宋" w:cs="Times New Roman"/>
              <w:bCs/>
              <w:color w:val="auto"/>
              <w:sz w:val="32"/>
              <w:szCs w:val="32"/>
            </w:rPr>
            <w:fldChar w:fldCharType="end"/>
          </w:r>
        </w:p>
        <w:p>
          <w:pPr>
            <w:pStyle w:val="13"/>
            <w:tabs>
              <w:tab w:val="right" w:leader="dot" w:pos="8210"/>
            </w:tabs>
            <w:spacing w:before="780" w:beforeLines="250" w:after="780" w:afterLines="250"/>
            <w:jc w:val="left"/>
            <w:rPr>
              <w:rStyle w:val="19"/>
              <w:rFonts w:ascii="Times New Roman" w:hAnsi="Times New Roman" w:eastAsia="仿宋" w:cs="Times New Roman"/>
              <w:bCs/>
              <w:color w:val="auto"/>
              <w:sz w:val="32"/>
              <w:szCs w:val="32"/>
            </w:rPr>
          </w:pPr>
          <w:r>
            <w:fldChar w:fldCharType="begin"/>
          </w:r>
          <w:r>
            <w:instrText xml:space="preserve"> HYPERLINK \l "_Toc20234161" </w:instrText>
          </w:r>
          <w:r>
            <w:fldChar w:fldCharType="separate"/>
          </w:r>
          <w:r>
            <w:rPr>
              <w:rStyle w:val="19"/>
              <w:rFonts w:ascii="Times New Roman" w:hAnsi="Times New Roman" w:eastAsia="仿宋" w:cs="Times New Roman"/>
              <w:bCs/>
              <w:color w:val="auto"/>
              <w:sz w:val="32"/>
              <w:szCs w:val="32"/>
            </w:rPr>
            <w:t xml:space="preserve">第四章 </w:t>
          </w:r>
          <w:r>
            <w:rPr>
              <w:rStyle w:val="19"/>
              <w:rFonts w:ascii="Times New Roman" w:hAnsi="Times New Roman" w:eastAsia="仿宋" w:cs="Times New Roman"/>
              <w:bCs/>
              <w:color w:val="auto"/>
              <w:sz w:val="32"/>
              <w:szCs w:val="32"/>
            </w:rPr>
            <w:tab/>
          </w:r>
          <w:r>
            <w:rPr>
              <w:rStyle w:val="19"/>
              <w:rFonts w:ascii="Times New Roman" w:hAnsi="Times New Roman" w:eastAsia="仿宋" w:cs="Times New Roman"/>
              <w:bCs/>
              <w:color w:val="auto"/>
              <w:sz w:val="32"/>
              <w:szCs w:val="32"/>
            </w:rPr>
            <w:t>招标项目的资格要求以及投标人应当提供的资格证明材料</w:t>
          </w:r>
          <w:r>
            <w:rPr>
              <w:rStyle w:val="19"/>
              <w:rFonts w:ascii="Times New Roman" w:hAnsi="Times New Roman" w:eastAsia="仿宋" w:cs="Times New Roman"/>
              <w:bCs/>
              <w:color w:val="auto"/>
              <w:sz w:val="32"/>
              <w:szCs w:val="32"/>
            </w:rPr>
            <w:tab/>
          </w:r>
          <w:r>
            <w:rPr>
              <w:rStyle w:val="19"/>
              <w:rFonts w:ascii="Times New Roman" w:hAnsi="Times New Roman" w:eastAsia="仿宋" w:cs="Times New Roman"/>
              <w:bCs/>
              <w:color w:val="auto"/>
              <w:sz w:val="32"/>
              <w:szCs w:val="32"/>
            </w:rPr>
            <w:fldChar w:fldCharType="begin"/>
          </w:r>
          <w:r>
            <w:rPr>
              <w:rStyle w:val="19"/>
              <w:rFonts w:ascii="Times New Roman" w:hAnsi="Times New Roman" w:eastAsia="仿宋" w:cs="Times New Roman"/>
              <w:bCs/>
              <w:color w:val="auto"/>
              <w:sz w:val="32"/>
              <w:szCs w:val="32"/>
            </w:rPr>
            <w:instrText xml:space="preserve"> PAGEREF _Toc20234161 \h </w:instrText>
          </w:r>
          <w:r>
            <w:rPr>
              <w:rStyle w:val="19"/>
              <w:rFonts w:ascii="Times New Roman" w:hAnsi="Times New Roman" w:eastAsia="仿宋" w:cs="Times New Roman"/>
              <w:bCs/>
              <w:color w:val="auto"/>
              <w:sz w:val="32"/>
              <w:szCs w:val="32"/>
            </w:rPr>
            <w:fldChar w:fldCharType="separate"/>
          </w:r>
          <w:r>
            <w:rPr>
              <w:rStyle w:val="19"/>
              <w:rFonts w:ascii="Times New Roman" w:hAnsi="Times New Roman" w:eastAsia="仿宋" w:cs="Times New Roman"/>
              <w:bCs/>
              <w:color w:val="auto"/>
              <w:sz w:val="32"/>
              <w:szCs w:val="32"/>
            </w:rPr>
            <w:t>33</w:t>
          </w:r>
          <w:r>
            <w:rPr>
              <w:rStyle w:val="19"/>
              <w:rFonts w:ascii="Times New Roman" w:hAnsi="Times New Roman" w:eastAsia="仿宋" w:cs="Times New Roman"/>
              <w:bCs/>
              <w:color w:val="auto"/>
              <w:sz w:val="32"/>
              <w:szCs w:val="32"/>
            </w:rPr>
            <w:fldChar w:fldCharType="end"/>
          </w:r>
          <w:r>
            <w:rPr>
              <w:rStyle w:val="19"/>
              <w:rFonts w:ascii="Times New Roman" w:hAnsi="Times New Roman" w:eastAsia="仿宋" w:cs="Times New Roman"/>
              <w:bCs/>
              <w:color w:val="auto"/>
              <w:sz w:val="32"/>
              <w:szCs w:val="32"/>
            </w:rPr>
            <w:fldChar w:fldCharType="end"/>
          </w:r>
        </w:p>
        <w:p>
          <w:pPr>
            <w:pStyle w:val="13"/>
            <w:tabs>
              <w:tab w:val="right" w:leader="dot" w:pos="8210"/>
            </w:tabs>
            <w:spacing w:before="780" w:beforeLines="250" w:after="780" w:afterLines="250"/>
            <w:jc w:val="left"/>
            <w:rPr>
              <w:rStyle w:val="19"/>
              <w:rFonts w:ascii="Times New Roman" w:hAnsi="Times New Roman" w:eastAsia="仿宋" w:cs="Times New Roman"/>
              <w:bCs/>
              <w:color w:val="auto"/>
              <w:sz w:val="32"/>
              <w:szCs w:val="32"/>
            </w:rPr>
          </w:pPr>
          <w:r>
            <w:fldChar w:fldCharType="begin"/>
          </w:r>
          <w:r>
            <w:instrText xml:space="preserve"> HYPERLINK \l "_Toc20234162" </w:instrText>
          </w:r>
          <w:r>
            <w:fldChar w:fldCharType="separate"/>
          </w:r>
          <w:r>
            <w:rPr>
              <w:rStyle w:val="19"/>
              <w:rFonts w:ascii="Times New Roman" w:hAnsi="Times New Roman" w:eastAsia="仿宋" w:cs="Times New Roman"/>
              <w:bCs/>
              <w:color w:val="auto"/>
              <w:sz w:val="32"/>
              <w:szCs w:val="32"/>
            </w:rPr>
            <w:t>第五章 招标项目技术、服务和其他要求</w:t>
          </w:r>
          <w:r>
            <w:rPr>
              <w:rStyle w:val="19"/>
              <w:rFonts w:ascii="Times New Roman" w:hAnsi="Times New Roman" w:eastAsia="仿宋" w:cs="Times New Roman"/>
              <w:bCs/>
              <w:color w:val="auto"/>
              <w:sz w:val="32"/>
              <w:szCs w:val="32"/>
            </w:rPr>
            <w:tab/>
          </w:r>
          <w:r>
            <w:rPr>
              <w:rStyle w:val="19"/>
              <w:rFonts w:ascii="Times New Roman" w:hAnsi="Times New Roman" w:eastAsia="仿宋" w:cs="Times New Roman"/>
              <w:bCs/>
              <w:color w:val="auto"/>
              <w:sz w:val="32"/>
              <w:szCs w:val="32"/>
            </w:rPr>
            <w:fldChar w:fldCharType="begin"/>
          </w:r>
          <w:r>
            <w:rPr>
              <w:rStyle w:val="19"/>
              <w:rFonts w:ascii="Times New Roman" w:hAnsi="Times New Roman" w:eastAsia="仿宋" w:cs="Times New Roman"/>
              <w:bCs/>
              <w:color w:val="auto"/>
              <w:sz w:val="32"/>
              <w:szCs w:val="32"/>
            </w:rPr>
            <w:instrText xml:space="preserve"> PAGEREF _Toc20234162 \h </w:instrText>
          </w:r>
          <w:r>
            <w:rPr>
              <w:rStyle w:val="19"/>
              <w:rFonts w:ascii="Times New Roman" w:hAnsi="Times New Roman" w:eastAsia="仿宋" w:cs="Times New Roman"/>
              <w:bCs/>
              <w:color w:val="auto"/>
              <w:sz w:val="32"/>
              <w:szCs w:val="32"/>
            </w:rPr>
            <w:fldChar w:fldCharType="separate"/>
          </w:r>
          <w:r>
            <w:rPr>
              <w:rStyle w:val="19"/>
              <w:rFonts w:ascii="Times New Roman" w:hAnsi="Times New Roman" w:eastAsia="仿宋" w:cs="Times New Roman"/>
              <w:bCs/>
              <w:color w:val="auto"/>
              <w:sz w:val="32"/>
              <w:szCs w:val="32"/>
            </w:rPr>
            <w:t>35</w:t>
          </w:r>
          <w:r>
            <w:rPr>
              <w:rStyle w:val="19"/>
              <w:rFonts w:ascii="Times New Roman" w:hAnsi="Times New Roman" w:eastAsia="仿宋" w:cs="Times New Roman"/>
              <w:bCs/>
              <w:color w:val="auto"/>
              <w:sz w:val="32"/>
              <w:szCs w:val="32"/>
            </w:rPr>
            <w:fldChar w:fldCharType="end"/>
          </w:r>
          <w:r>
            <w:rPr>
              <w:rStyle w:val="19"/>
              <w:rFonts w:ascii="Times New Roman" w:hAnsi="Times New Roman" w:eastAsia="仿宋" w:cs="Times New Roman"/>
              <w:bCs/>
              <w:color w:val="auto"/>
              <w:sz w:val="32"/>
              <w:szCs w:val="32"/>
            </w:rPr>
            <w:fldChar w:fldCharType="end"/>
          </w:r>
        </w:p>
        <w:p>
          <w:pPr>
            <w:pStyle w:val="13"/>
            <w:tabs>
              <w:tab w:val="right" w:leader="dot" w:pos="8210"/>
            </w:tabs>
            <w:spacing w:before="780" w:beforeLines="250" w:after="780" w:afterLines="250"/>
            <w:jc w:val="left"/>
            <w:rPr>
              <w:rStyle w:val="19"/>
              <w:rFonts w:ascii="Times New Roman" w:hAnsi="Times New Roman" w:eastAsia="仿宋" w:cs="Times New Roman"/>
              <w:bCs/>
              <w:color w:val="auto"/>
              <w:sz w:val="32"/>
              <w:szCs w:val="32"/>
            </w:rPr>
          </w:pPr>
          <w:r>
            <w:fldChar w:fldCharType="begin"/>
          </w:r>
          <w:r>
            <w:instrText xml:space="preserve"> HYPERLINK \l "_Toc20234163" </w:instrText>
          </w:r>
          <w:r>
            <w:fldChar w:fldCharType="separate"/>
          </w:r>
          <w:r>
            <w:rPr>
              <w:rStyle w:val="19"/>
              <w:rFonts w:ascii="Times New Roman" w:hAnsi="Times New Roman" w:eastAsia="仿宋" w:cs="Times New Roman"/>
              <w:bCs/>
              <w:color w:val="auto"/>
              <w:sz w:val="32"/>
              <w:szCs w:val="32"/>
            </w:rPr>
            <w:t>第六章 评标办法</w:t>
          </w:r>
          <w:r>
            <w:rPr>
              <w:rStyle w:val="19"/>
              <w:rFonts w:ascii="Times New Roman" w:hAnsi="Times New Roman" w:eastAsia="仿宋" w:cs="Times New Roman"/>
              <w:bCs/>
              <w:color w:val="auto"/>
              <w:sz w:val="32"/>
              <w:szCs w:val="32"/>
            </w:rPr>
            <w:tab/>
          </w:r>
          <w:r>
            <w:rPr>
              <w:rStyle w:val="19"/>
              <w:rFonts w:ascii="Times New Roman" w:hAnsi="Times New Roman" w:eastAsia="仿宋" w:cs="Times New Roman"/>
              <w:bCs/>
              <w:color w:val="auto"/>
              <w:sz w:val="32"/>
              <w:szCs w:val="32"/>
            </w:rPr>
            <w:fldChar w:fldCharType="begin"/>
          </w:r>
          <w:r>
            <w:rPr>
              <w:rStyle w:val="19"/>
              <w:rFonts w:ascii="Times New Roman" w:hAnsi="Times New Roman" w:eastAsia="仿宋" w:cs="Times New Roman"/>
              <w:bCs/>
              <w:color w:val="auto"/>
              <w:sz w:val="32"/>
              <w:szCs w:val="32"/>
            </w:rPr>
            <w:instrText xml:space="preserve"> PAGEREF _Toc20234163 \h </w:instrText>
          </w:r>
          <w:r>
            <w:rPr>
              <w:rStyle w:val="19"/>
              <w:rFonts w:ascii="Times New Roman" w:hAnsi="Times New Roman" w:eastAsia="仿宋" w:cs="Times New Roman"/>
              <w:bCs/>
              <w:color w:val="auto"/>
              <w:sz w:val="32"/>
              <w:szCs w:val="32"/>
            </w:rPr>
            <w:fldChar w:fldCharType="separate"/>
          </w:r>
          <w:r>
            <w:rPr>
              <w:rStyle w:val="19"/>
              <w:rFonts w:ascii="Times New Roman" w:hAnsi="Times New Roman" w:eastAsia="仿宋" w:cs="Times New Roman"/>
              <w:bCs/>
              <w:color w:val="auto"/>
              <w:sz w:val="32"/>
              <w:szCs w:val="32"/>
            </w:rPr>
            <w:t>69</w:t>
          </w:r>
          <w:r>
            <w:rPr>
              <w:rStyle w:val="19"/>
              <w:rFonts w:ascii="Times New Roman" w:hAnsi="Times New Roman" w:eastAsia="仿宋" w:cs="Times New Roman"/>
              <w:bCs/>
              <w:color w:val="auto"/>
              <w:sz w:val="32"/>
              <w:szCs w:val="32"/>
            </w:rPr>
            <w:fldChar w:fldCharType="end"/>
          </w:r>
          <w:r>
            <w:rPr>
              <w:rStyle w:val="19"/>
              <w:rFonts w:ascii="Times New Roman" w:hAnsi="Times New Roman" w:eastAsia="仿宋" w:cs="Times New Roman"/>
              <w:bCs/>
              <w:color w:val="auto"/>
              <w:sz w:val="32"/>
              <w:szCs w:val="32"/>
            </w:rPr>
            <w:fldChar w:fldCharType="end"/>
          </w:r>
        </w:p>
        <w:p>
          <w:pPr>
            <w:pStyle w:val="13"/>
            <w:tabs>
              <w:tab w:val="right" w:leader="dot" w:pos="8210"/>
            </w:tabs>
            <w:spacing w:before="780" w:beforeLines="250" w:after="780" w:afterLines="250"/>
            <w:jc w:val="left"/>
            <w:rPr>
              <w:rStyle w:val="19"/>
              <w:rFonts w:ascii="Times New Roman" w:hAnsi="Times New Roman" w:eastAsia="仿宋" w:cs="Times New Roman"/>
              <w:bCs/>
              <w:color w:val="auto"/>
              <w:sz w:val="32"/>
              <w:szCs w:val="32"/>
            </w:rPr>
          </w:pPr>
          <w:r>
            <w:fldChar w:fldCharType="begin"/>
          </w:r>
          <w:r>
            <w:instrText xml:space="preserve"> HYPERLINK \l "_Toc20234165" </w:instrText>
          </w:r>
          <w:r>
            <w:fldChar w:fldCharType="separate"/>
          </w:r>
          <w:r>
            <w:rPr>
              <w:rStyle w:val="19"/>
              <w:rFonts w:ascii="Times New Roman" w:hAnsi="Times New Roman" w:eastAsia="仿宋" w:cs="Times New Roman"/>
              <w:bCs/>
              <w:color w:val="auto"/>
              <w:sz w:val="32"/>
              <w:szCs w:val="32"/>
            </w:rPr>
            <w:t>第七章 合同主要条款</w:t>
          </w:r>
          <w:r>
            <w:rPr>
              <w:rStyle w:val="19"/>
              <w:rFonts w:ascii="Times New Roman" w:hAnsi="Times New Roman" w:eastAsia="仿宋" w:cs="Times New Roman"/>
              <w:bCs/>
              <w:color w:val="auto"/>
              <w:sz w:val="32"/>
              <w:szCs w:val="32"/>
            </w:rPr>
            <w:tab/>
          </w:r>
          <w:r>
            <w:rPr>
              <w:rStyle w:val="19"/>
              <w:rFonts w:ascii="Times New Roman" w:hAnsi="Times New Roman" w:eastAsia="仿宋" w:cs="Times New Roman"/>
              <w:bCs/>
              <w:color w:val="auto"/>
              <w:sz w:val="32"/>
              <w:szCs w:val="32"/>
            </w:rPr>
            <w:fldChar w:fldCharType="begin"/>
          </w:r>
          <w:r>
            <w:rPr>
              <w:rStyle w:val="19"/>
              <w:rFonts w:ascii="Times New Roman" w:hAnsi="Times New Roman" w:eastAsia="仿宋" w:cs="Times New Roman"/>
              <w:bCs/>
              <w:color w:val="auto"/>
              <w:sz w:val="32"/>
              <w:szCs w:val="32"/>
            </w:rPr>
            <w:instrText xml:space="preserve"> PAGEREF _Toc20234165 \h </w:instrText>
          </w:r>
          <w:r>
            <w:rPr>
              <w:rStyle w:val="19"/>
              <w:rFonts w:ascii="Times New Roman" w:hAnsi="Times New Roman" w:eastAsia="仿宋" w:cs="Times New Roman"/>
              <w:bCs/>
              <w:color w:val="auto"/>
              <w:sz w:val="32"/>
              <w:szCs w:val="32"/>
            </w:rPr>
            <w:fldChar w:fldCharType="separate"/>
          </w:r>
          <w:r>
            <w:rPr>
              <w:rStyle w:val="19"/>
              <w:rFonts w:ascii="Times New Roman" w:hAnsi="Times New Roman" w:eastAsia="仿宋" w:cs="Times New Roman"/>
              <w:bCs/>
              <w:color w:val="auto"/>
              <w:sz w:val="32"/>
              <w:szCs w:val="32"/>
            </w:rPr>
            <w:t>80</w:t>
          </w:r>
          <w:r>
            <w:rPr>
              <w:rStyle w:val="19"/>
              <w:rFonts w:ascii="Times New Roman" w:hAnsi="Times New Roman" w:eastAsia="仿宋" w:cs="Times New Roman"/>
              <w:bCs/>
              <w:color w:val="auto"/>
              <w:sz w:val="32"/>
              <w:szCs w:val="32"/>
            </w:rPr>
            <w:fldChar w:fldCharType="end"/>
          </w:r>
          <w:r>
            <w:rPr>
              <w:rStyle w:val="19"/>
              <w:rFonts w:ascii="Times New Roman" w:hAnsi="Times New Roman" w:eastAsia="仿宋" w:cs="Times New Roman"/>
              <w:bCs/>
              <w:color w:val="auto"/>
              <w:sz w:val="32"/>
              <w:szCs w:val="32"/>
            </w:rPr>
            <w:fldChar w:fldCharType="end"/>
          </w:r>
          <w:r>
            <w:rPr>
              <w:rStyle w:val="19"/>
              <w:rFonts w:ascii="Times New Roman" w:hAnsi="Times New Roman" w:eastAsia="仿宋" w:cs="Times New Roman"/>
              <w:bCs/>
              <w:color w:val="auto"/>
              <w:sz w:val="32"/>
              <w:szCs w:val="32"/>
            </w:rPr>
            <w:fldChar w:fldCharType="end"/>
          </w:r>
        </w:p>
      </w:sdtContent>
    </w:sdt>
    <w:p>
      <w:pPr>
        <w:widowControl/>
        <w:jc w:val="left"/>
        <w:rPr>
          <w:rFonts w:ascii="Times New Roman" w:hAnsi="Times New Roman" w:eastAsia="黑体" w:cs="Times New Roman"/>
          <w:bCs/>
          <w:sz w:val="36"/>
          <w:szCs w:val="32"/>
        </w:rPr>
        <w:sectPr>
          <w:footerReference r:id="rId3" w:type="default"/>
          <w:pgSz w:w="11906" w:h="16838"/>
          <w:pgMar w:top="1418" w:right="1418" w:bottom="1304" w:left="1701" w:header="851" w:footer="992" w:gutter="567"/>
          <w:cols w:space="425" w:num="1"/>
          <w:docGrid w:type="lines" w:linePitch="312" w:charSpace="0"/>
        </w:sectPr>
      </w:pPr>
    </w:p>
    <w:p>
      <w:pPr>
        <w:widowControl/>
        <w:spacing w:line="520" w:lineRule="exact"/>
        <w:jc w:val="center"/>
        <w:outlineLvl w:val="0"/>
        <w:rPr>
          <w:rFonts w:ascii="Times New Roman" w:hAnsi="Times New Roman" w:eastAsia="黑体" w:cs="Times New Roman"/>
          <w:b/>
          <w:sz w:val="30"/>
          <w:szCs w:val="30"/>
        </w:rPr>
      </w:pPr>
      <w:bookmarkStart w:id="0" w:name="_Toc20234158"/>
      <w:r>
        <w:rPr>
          <w:rFonts w:ascii="Times New Roman" w:hAnsi="Times New Roman" w:eastAsia="黑体" w:cs="Times New Roman"/>
          <w:bCs/>
          <w:sz w:val="36"/>
          <w:szCs w:val="32"/>
        </w:rPr>
        <w:t>第一章</w:t>
      </w:r>
      <w:r>
        <w:rPr>
          <w:rFonts w:ascii="Times New Roman" w:hAnsi="Times New Roman" w:eastAsia="黑体" w:cs="Times New Roman"/>
          <w:bCs/>
          <w:sz w:val="36"/>
          <w:szCs w:val="32"/>
        </w:rPr>
        <w:tab/>
      </w:r>
      <w:r>
        <w:rPr>
          <w:rFonts w:ascii="Times New Roman" w:hAnsi="Times New Roman" w:eastAsia="黑体" w:cs="Times New Roman"/>
          <w:bCs/>
          <w:sz w:val="36"/>
          <w:szCs w:val="32"/>
        </w:rPr>
        <w:t>投标邀请</w:t>
      </w:r>
      <w:bookmarkEnd w:id="0"/>
    </w:p>
    <w:p>
      <w:pPr>
        <w:spacing w:line="520" w:lineRule="exact"/>
        <w:ind w:firstLine="560" w:firstLineChars="200"/>
        <w:rPr>
          <w:rFonts w:ascii="Times New Roman" w:hAnsi="Times New Roman" w:eastAsia="仿宋" w:cs="Times New Roman"/>
          <w:sz w:val="28"/>
          <w:szCs w:val="28"/>
        </w:rPr>
      </w:pPr>
    </w:p>
    <w:p>
      <w:pPr>
        <w:spacing w:line="52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lang w:val="en-US" w:eastAsia="zh-CN"/>
        </w:rPr>
        <w:t>南江农科村镇银行</w:t>
      </w:r>
      <w:r>
        <w:rPr>
          <w:rFonts w:hint="eastAsia" w:ascii="Times New Roman" w:hAnsi="Times New Roman" w:eastAsia="仿宋" w:cs="Times New Roman"/>
          <w:sz w:val="28"/>
          <w:szCs w:val="28"/>
        </w:rPr>
        <w:t>（（以下简称“采购人”）</w:t>
      </w:r>
      <w:r>
        <w:rPr>
          <w:rFonts w:hint="eastAsia" w:ascii="Times New Roman" w:hAnsi="Times New Roman" w:eastAsia="仿宋" w:cs="Times New Roman"/>
          <w:sz w:val="28"/>
          <w:szCs w:val="28"/>
          <w:lang w:val="en-US" w:eastAsia="zh-CN"/>
        </w:rPr>
        <w:t>拟采用公开招标</w:t>
      </w:r>
      <w:r>
        <w:rPr>
          <w:rFonts w:hint="eastAsia" w:ascii="Times New Roman" w:hAnsi="Times New Roman" w:eastAsia="仿宋" w:cs="Times New Roman"/>
          <w:sz w:val="28"/>
          <w:szCs w:val="28"/>
        </w:rPr>
        <w:t>方式</w:t>
      </w:r>
      <w:r>
        <w:rPr>
          <w:rFonts w:hint="eastAsia" w:ascii="Times New Roman" w:hAnsi="Times New Roman" w:eastAsia="仿宋" w:cs="Times New Roman"/>
          <w:sz w:val="28"/>
          <w:szCs w:val="28"/>
          <w:lang w:val="en-US" w:eastAsia="zh-CN"/>
        </w:rPr>
        <w:t>对</w:t>
      </w:r>
      <w:r>
        <w:rPr>
          <w:rFonts w:hint="eastAsia" w:ascii="Times New Roman" w:hAnsi="Times New Roman" w:eastAsia="仿宋" w:cs="Times New Roman"/>
          <w:sz w:val="28"/>
          <w:szCs w:val="28"/>
        </w:rPr>
        <w:t>办公家具</w:t>
      </w:r>
      <w:r>
        <w:rPr>
          <w:rFonts w:ascii="Times New Roman" w:hAnsi="Times New Roman" w:eastAsia="仿宋" w:cs="Times New Roman"/>
          <w:sz w:val="28"/>
          <w:szCs w:val="28"/>
        </w:rPr>
        <w:t>进行国内公开招标，兹邀请符合本次招标要求的供应商参加投标。</w:t>
      </w: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一、招标项目编号</w:t>
      </w:r>
    </w:p>
    <w:p>
      <w:pPr>
        <w:spacing w:line="520" w:lineRule="exact"/>
        <w:ind w:firstLine="643" w:firstLineChars="200"/>
        <w:rPr>
          <w:rFonts w:ascii="Times New Roman" w:hAnsi="Times New Roman" w:eastAsia="仿宋" w:cs="Times New Roman"/>
          <w:sz w:val="28"/>
          <w:szCs w:val="28"/>
        </w:rPr>
      </w:pPr>
      <w:r>
        <w:rPr>
          <w:rFonts w:hint="eastAsia" w:ascii="Times New Roman" w:hAnsi="Times New Roman" w:eastAsia="仿宋" w:cs="Times New Roman"/>
          <w:b/>
          <w:color w:val="FF0000"/>
          <w:sz w:val="32"/>
          <w:szCs w:val="32"/>
          <w:lang w:val="en-US" w:eastAsia="zh-CN"/>
        </w:rPr>
        <w:t>南江农科BGJJ-2021-1号</w:t>
      </w:r>
      <w:r>
        <w:rPr>
          <w:rFonts w:ascii="Times New Roman" w:hAnsi="Times New Roman" w:eastAsia="仿宋" w:cs="Times New Roman"/>
          <w:sz w:val="28"/>
          <w:szCs w:val="28"/>
        </w:rPr>
        <w:t>。</w:t>
      </w: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二、招标项目名称</w:t>
      </w:r>
    </w:p>
    <w:p>
      <w:pPr>
        <w:spacing w:line="52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lang w:val="en-US" w:eastAsia="zh-CN"/>
        </w:rPr>
        <w:t>南江农科村镇银行办公家具采购项目</w:t>
      </w:r>
      <w:r>
        <w:rPr>
          <w:rFonts w:ascii="Times New Roman" w:hAnsi="Times New Roman" w:eastAsia="仿宋" w:cs="Times New Roman"/>
          <w:sz w:val="28"/>
          <w:szCs w:val="28"/>
        </w:rPr>
        <w:t>。</w:t>
      </w: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三、采购预算和最高限价</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本项目的采购预算为：</w:t>
      </w:r>
      <w:r>
        <w:rPr>
          <w:rFonts w:hint="eastAsia" w:ascii="Times New Roman" w:hAnsi="Times New Roman" w:eastAsia="仿宋" w:cs="Times New Roman"/>
          <w:b/>
          <w:color w:val="FF0000"/>
          <w:sz w:val="32"/>
          <w:szCs w:val="32"/>
          <w:lang w:val="en-US" w:eastAsia="zh-CN"/>
        </w:rPr>
        <w:t>118万元整</w:t>
      </w:r>
      <w:r>
        <w:rPr>
          <w:rFonts w:hint="eastAsia" w:ascii="Times New Roman" w:hAnsi="Times New Roman" w:eastAsia="仿宋" w:cs="Times New Roman"/>
          <w:sz w:val="28"/>
          <w:szCs w:val="28"/>
          <w:lang w:eastAsia="zh-CN"/>
        </w:rPr>
        <w:t>，</w:t>
      </w:r>
      <w:r>
        <w:rPr>
          <w:rFonts w:ascii="Times New Roman" w:hAnsi="Times New Roman" w:eastAsia="仿宋" w:cs="Times New Roman"/>
          <w:sz w:val="28"/>
          <w:szCs w:val="28"/>
        </w:rPr>
        <w:t>本项目报价不能超过采购人设定的最高限价。</w:t>
      </w:r>
    </w:p>
    <w:p>
      <w:pPr>
        <w:spacing w:line="520" w:lineRule="exact"/>
        <w:ind w:firstLine="562" w:firstLineChars="200"/>
        <w:rPr>
          <w:rFonts w:ascii="Times New Roman" w:hAnsi="Times New Roman" w:eastAsia="仿宋" w:cs="Times New Roman"/>
          <w:b/>
          <w:sz w:val="28"/>
          <w:szCs w:val="28"/>
        </w:rPr>
      </w:pPr>
      <w:r>
        <w:rPr>
          <w:rFonts w:hint="eastAsia" w:ascii="Times New Roman" w:hAnsi="Times New Roman" w:eastAsia="仿宋" w:cs="Times New Roman"/>
          <w:b/>
          <w:sz w:val="28"/>
          <w:szCs w:val="28"/>
          <w:lang w:val="en-US" w:eastAsia="zh-CN"/>
        </w:rPr>
        <w:t>四</w:t>
      </w:r>
      <w:r>
        <w:rPr>
          <w:rFonts w:ascii="Times New Roman" w:hAnsi="Times New Roman" w:eastAsia="仿宋" w:cs="Times New Roman"/>
          <w:b/>
          <w:sz w:val="28"/>
          <w:szCs w:val="28"/>
        </w:rPr>
        <w:t>、供应商参加本次采购活动应具备下列条件</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（一）具有独立承担民事责任的能力；</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（二）具有良好的商业信誉和健全的财务会计制度；</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（三）具有履行合同所必需的设备和专业技术能力；</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（四）有依法缴纳税收和社会保障资金的良好记录；</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（五）参加本次政府采购活动前三年内，在经营活动中没有重大违法记录；</w:t>
      </w:r>
    </w:p>
    <w:p>
      <w:pPr>
        <w:tabs>
          <w:tab w:val="left" w:pos="6255"/>
        </w:tabs>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（六）法律、行政法规规定的其他条件；</w:t>
      </w:r>
    </w:p>
    <w:p>
      <w:pPr>
        <w:tabs>
          <w:tab w:val="left" w:pos="6255"/>
        </w:tabs>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（七）</w:t>
      </w:r>
      <w:r>
        <w:rPr>
          <w:rFonts w:hint="eastAsia" w:ascii="Times New Roman" w:hAnsi="Times New Roman" w:eastAsia="仿宋" w:cs="Times New Roman"/>
          <w:sz w:val="28"/>
          <w:szCs w:val="28"/>
        </w:rPr>
        <w:t>本项目不接受联合体</w:t>
      </w:r>
      <w:r>
        <w:rPr>
          <w:rFonts w:hint="eastAsia" w:ascii="Times New Roman" w:hAnsi="Times New Roman" w:eastAsia="仿宋" w:cs="Times New Roman"/>
          <w:sz w:val="28"/>
          <w:szCs w:val="28"/>
          <w:lang w:val="en-US" w:eastAsia="zh-CN"/>
        </w:rPr>
        <w:t>参加投标</w:t>
      </w:r>
      <w:r>
        <w:rPr>
          <w:rFonts w:ascii="Times New Roman" w:hAnsi="Times New Roman" w:eastAsia="仿宋" w:cs="Times New Roman"/>
          <w:sz w:val="28"/>
          <w:szCs w:val="28"/>
        </w:rPr>
        <w:t>。</w:t>
      </w:r>
    </w:p>
    <w:p>
      <w:pPr>
        <w:spacing w:line="520" w:lineRule="exact"/>
        <w:ind w:firstLine="562" w:firstLineChars="200"/>
        <w:rPr>
          <w:rFonts w:ascii="Times New Roman" w:hAnsi="Times New Roman" w:eastAsia="仿宋" w:cs="Times New Roman"/>
          <w:b/>
          <w:sz w:val="28"/>
          <w:szCs w:val="28"/>
        </w:rPr>
      </w:pPr>
      <w:r>
        <w:rPr>
          <w:rFonts w:hint="eastAsia" w:ascii="Times New Roman" w:hAnsi="Times New Roman" w:eastAsia="仿宋" w:cs="Times New Roman"/>
          <w:b/>
          <w:sz w:val="28"/>
          <w:szCs w:val="28"/>
          <w:lang w:val="en-US" w:eastAsia="zh-CN"/>
        </w:rPr>
        <w:t>五</w:t>
      </w:r>
      <w:r>
        <w:rPr>
          <w:rFonts w:ascii="Times New Roman" w:hAnsi="Times New Roman" w:eastAsia="仿宋" w:cs="Times New Roman"/>
          <w:b/>
          <w:sz w:val="28"/>
          <w:szCs w:val="28"/>
        </w:rPr>
        <w:t>、招标公告发布的媒体和公告期限</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本项目招标公告在</w:t>
      </w:r>
      <w:r>
        <w:rPr>
          <w:rFonts w:hint="eastAsia" w:ascii="Times New Roman" w:hAnsi="Times New Roman" w:eastAsia="仿宋" w:cs="Times New Roman"/>
          <w:color w:val="FF0000"/>
          <w:sz w:val="28"/>
          <w:szCs w:val="28"/>
          <w:lang w:val="en-US" w:eastAsia="zh-CN"/>
        </w:rPr>
        <w:t>南江农科村镇银行网站</w:t>
      </w:r>
      <w:r>
        <w:rPr>
          <w:rFonts w:ascii="Times New Roman" w:hAnsi="Times New Roman" w:eastAsia="仿宋" w:cs="Times New Roman"/>
          <w:sz w:val="28"/>
          <w:szCs w:val="28"/>
        </w:rPr>
        <w:t>发布，公告期限为5个工作日。</w:t>
      </w:r>
    </w:p>
    <w:p>
      <w:pPr>
        <w:tabs>
          <w:tab w:val="left" w:pos="6255"/>
        </w:tabs>
        <w:spacing w:line="520" w:lineRule="exact"/>
        <w:ind w:firstLine="562" w:firstLineChars="200"/>
        <w:rPr>
          <w:rFonts w:ascii="Times New Roman" w:hAnsi="Times New Roman" w:eastAsia="仿宋" w:cs="Times New Roman"/>
          <w:b/>
          <w:sz w:val="28"/>
          <w:szCs w:val="28"/>
        </w:rPr>
      </w:pPr>
      <w:r>
        <w:rPr>
          <w:rFonts w:hint="eastAsia" w:ascii="Times New Roman" w:hAnsi="Times New Roman" w:eastAsia="仿宋" w:cs="Times New Roman"/>
          <w:b/>
          <w:sz w:val="28"/>
          <w:szCs w:val="28"/>
          <w:lang w:val="en-US" w:eastAsia="zh-CN"/>
        </w:rPr>
        <w:t>六</w:t>
      </w:r>
      <w:r>
        <w:rPr>
          <w:rFonts w:ascii="Times New Roman" w:hAnsi="Times New Roman" w:eastAsia="仿宋" w:cs="Times New Roman"/>
          <w:b/>
          <w:sz w:val="28"/>
          <w:szCs w:val="28"/>
        </w:rPr>
        <w:t>、招标文件获取时间和方式</w:t>
      </w:r>
    </w:p>
    <w:p>
      <w:pPr>
        <w:tabs>
          <w:tab w:val="left" w:pos="6255"/>
        </w:tabs>
        <w:spacing w:line="520" w:lineRule="exact"/>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(一) 报名及获取</w:t>
      </w:r>
      <w:r>
        <w:rPr>
          <w:rFonts w:hint="eastAsia" w:ascii="Times New Roman" w:hAnsi="Times New Roman" w:eastAsia="仿宋" w:cs="Times New Roman"/>
          <w:sz w:val="28"/>
          <w:szCs w:val="28"/>
          <w:lang w:val="en-US" w:eastAsia="zh-CN"/>
        </w:rPr>
        <w:t>招标</w:t>
      </w:r>
      <w:r>
        <w:rPr>
          <w:rFonts w:hint="eastAsia" w:ascii="Times New Roman" w:hAnsi="Times New Roman" w:eastAsia="仿宋" w:cs="Times New Roman"/>
          <w:sz w:val="28"/>
          <w:szCs w:val="28"/>
        </w:rPr>
        <w:t xml:space="preserve">文件的时间： </w:t>
      </w:r>
      <w:r>
        <w:rPr>
          <w:rFonts w:hint="eastAsia" w:ascii="Times New Roman" w:hAnsi="Times New Roman" w:eastAsia="仿宋" w:cs="Times New Roman"/>
          <w:color w:val="FF0000"/>
          <w:sz w:val="28"/>
          <w:szCs w:val="28"/>
        </w:rPr>
        <w:t>202</w:t>
      </w:r>
      <w:r>
        <w:rPr>
          <w:rFonts w:hint="eastAsia" w:ascii="Times New Roman" w:hAnsi="Times New Roman" w:eastAsia="仿宋" w:cs="Times New Roman"/>
          <w:color w:val="FF0000"/>
          <w:sz w:val="28"/>
          <w:szCs w:val="28"/>
          <w:lang w:val="en-US" w:eastAsia="zh-CN"/>
        </w:rPr>
        <w:t>1</w:t>
      </w:r>
      <w:r>
        <w:rPr>
          <w:rFonts w:hint="eastAsia" w:ascii="Times New Roman" w:hAnsi="Times New Roman" w:eastAsia="仿宋" w:cs="Times New Roman"/>
          <w:color w:val="FF0000"/>
          <w:sz w:val="28"/>
          <w:szCs w:val="28"/>
        </w:rPr>
        <w:t xml:space="preserve">年 </w:t>
      </w:r>
      <w:r>
        <w:rPr>
          <w:rFonts w:hint="default" w:ascii="Times New Roman" w:hAnsi="Times New Roman" w:eastAsia="仿宋" w:cs="Times New Roman"/>
          <w:color w:val="FF0000"/>
          <w:sz w:val="28"/>
          <w:szCs w:val="28"/>
          <w:lang w:val="en-US" w:eastAsia="zh-CN"/>
        </w:rPr>
        <w:t>5</w:t>
      </w:r>
      <w:r>
        <w:rPr>
          <w:rFonts w:hint="eastAsia" w:ascii="Times New Roman" w:hAnsi="Times New Roman" w:eastAsia="仿宋" w:cs="Times New Roman"/>
          <w:color w:val="FF0000"/>
          <w:sz w:val="28"/>
          <w:szCs w:val="28"/>
        </w:rPr>
        <w:t>月</w:t>
      </w:r>
      <w:r>
        <w:rPr>
          <w:rFonts w:hint="eastAsia" w:ascii="Times New Roman" w:hAnsi="Times New Roman" w:eastAsia="仿宋" w:cs="Times New Roman"/>
          <w:color w:val="FF0000"/>
          <w:sz w:val="28"/>
          <w:szCs w:val="28"/>
          <w:lang w:val="en-US" w:eastAsia="zh-CN"/>
        </w:rPr>
        <w:t>29</w:t>
      </w:r>
      <w:r>
        <w:rPr>
          <w:rFonts w:hint="eastAsia" w:ascii="Times New Roman" w:hAnsi="Times New Roman" w:eastAsia="仿宋" w:cs="Times New Roman"/>
          <w:color w:val="FF0000"/>
          <w:sz w:val="28"/>
          <w:szCs w:val="28"/>
        </w:rPr>
        <w:t xml:space="preserve">日 </w:t>
      </w:r>
      <w:r>
        <w:rPr>
          <w:rFonts w:hint="eastAsia" w:ascii="Times New Roman" w:hAnsi="Times New Roman" w:eastAsia="仿宋" w:cs="Times New Roman"/>
          <w:color w:val="FF0000"/>
          <w:sz w:val="28"/>
          <w:szCs w:val="28"/>
          <w:lang w:val="en-US" w:eastAsia="zh-CN"/>
        </w:rPr>
        <w:t>0</w:t>
      </w:r>
      <w:r>
        <w:rPr>
          <w:rFonts w:hint="eastAsia" w:ascii="Times New Roman" w:hAnsi="Times New Roman" w:eastAsia="仿宋" w:cs="Times New Roman"/>
          <w:color w:val="FF0000"/>
          <w:sz w:val="28"/>
          <w:szCs w:val="28"/>
        </w:rPr>
        <w:t>时</w:t>
      </w:r>
      <w:r>
        <w:rPr>
          <w:rFonts w:hint="eastAsia" w:ascii="Times New Roman" w:hAnsi="Times New Roman" w:eastAsia="仿宋" w:cs="Times New Roman"/>
          <w:color w:val="FF0000"/>
          <w:sz w:val="28"/>
          <w:szCs w:val="28"/>
          <w:lang w:val="en-US" w:eastAsia="zh-CN"/>
        </w:rPr>
        <w:t>0</w:t>
      </w:r>
      <w:r>
        <w:rPr>
          <w:rFonts w:hint="eastAsia" w:ascii="Times New Roman" w:hAnsi="Times New Roman" w:eastAsia="仿宋" w:cs="Times New Roman"/>
          <w:color w:val="FF0000"/>
          <w:sz w:val="28"/>
          <w:szCs w:val="28"/>
        </w:rPr>
        <w:t>分</w:t>
      </w:r>
      <w:r>
        <w:rPr>
          <w:rFonts w:hint="eastAsia" w:ascii="Times New Roman" w:hAnsi="Times New Roman" w:eastAsia="仿宋" w:cs="Times New Roman"/>
          <w:sz w:val="28"/>
          <w:szCs w:val="28"/>
        </w:rPr>
        <w:t xml:space="preserve">至 </w:t>
      </w:r>
      <w:r>
        <w:rPr>
          <w:rFonts w:hint="eastAsia" w:ascii="Times New Roman" w:hAnsi="Times New Roman" w:eastAsia="仿宋" w:cs="Times New Roman"/>
          <w:color w:val="FF0000"/>
          <w:sz w:val="28"/>
          <w:szCs w:val="28"/>
        </w:rPr>
        <w:t>202</w:t>
      </w:r>
      <w:r>
        <w:rPr>
          <w:rFonts w:hint="eastAsia" w:ascii="Times New Roman" w:hAnsi="Times New Roman" w:eastAsia="仿宋" w:cs="Times New Roman"/>
          <w:color w:val="FF0000"/>
          <w:sz w:val="28"/>
          <w:szCs w:val="28"/>
          <w:lang w:val="en-US" w:eastAsia="zh-CN"/>
        </w:rPr>
        <w:t>1</w:t>
      </w:r>
      <w:r>
        <w:rPr>
          <w:rFonts w:hint="eastAsia" w:ascii="Times New Roman" w:hAnsi="Times New Roman" w:eastAsia="仿宋" w:cs="Times New Roman"/>
          <w:color w:val="FF0000"/>
          <w:sz w:val="28"/>
          <w:szCs w:val="28"/>
        </w:rPr>
        <w:t>年</w:t>
      </w:r>
      <w:r>
        <w:rPr>
          <w:rFonts w:hint="eastAsia" w:ascii="Times New Roman" w:hAnsi="Times New Roman" w:eastAsia="仿宋" w:cs="Times New Roman"/>
          <w:color w:val="FF0000"/>
          <w:sz w:val="28"/>
          <w:szCs w:val="28"/>
          <w:lang w:val="en-US" w:eastAsia="zh-CN"/>
        </w:rPr>
        <w:t>6</w:t>
      </w:r>
      <w:r>
        <w:rPr>
          <w:rFonts w:hint="eastAsia" w:ascii="Times New Roman" w:hAnsi="Times New Roman" w:eastAsia="仿宋" w:cs="Times New Roman"/>
          <w:color w:val="FF0000"/>
          <w:sz w:val="28"/>
          <w:szCs w:val="28"/>
        </w:rPr>
        <w:t>月</w:t>
      </w:r>
      <w:r>
        <w:rPr>
          <w:rFonts w:hint="eastAsia" w:ascii="Times New Roman" w:hAnsi="Times New Roman" w:eastAsia="仿宋" w:cs="Times New Roman"/>
          <w:color w:val="FF0000"/>
          <w:sz w:val="28"/>
          <w:szCs w:val="28"/>
          <w:lang w:val="en-US" w:eastAsia="zh-CN"/>
        </w:rPr>
        <w:t>5</w:t>
      </w:r>
      <w:r>
        <w:rPr>
          <w:rFonts w:hint="eastAsia" w:ascii="Times New Roman" w:hAnsi="Times New Roman" w:eastAsia="仿宋" w:cs="Times New Roman"/>
          <w:color w:val="FF0000"/>
          <w:sz w:val="28"/>
          <w:szCs w:val="28"/>
        </w:rPr>
        <w:t>日</w:t>
      </w:r>
      <w:r>
        <w:rPr>
          <w:rFonts w:hint="eastAsia" w:ascii="Times New Roman" w:hAnsi="Times New Roman" w:eastAsia="仿宋" w:cs="Times New Roman"/>
          <w:color w:val="FF0000"/>
          <w:sz w:val="28"/>
          <w:szCs w:val="28"/>
          <w:lang w:val="en-US" w:eastAsia="zh-CN"/>
        </w:rPr>
        <w:t>24</w:t>
      </w:r>
      <w:r>
        <w:rPr>
          <w:rFonts w:hint="eastAsia" w:ascii="Times New Roman" w:hAnsi="Times New Roman" w:eastAsia="仿宋" w:cs="Times New Roman"/>
          <w:color w:val="FF0000"/>
          <w:sz w:val="28"/>
          <w:szCs w:val="28"/>
        </w:rPr>
        <w:t>时</w:t>
      </w:r>
      <w:r>
        <w:rPr>
          <w:rFonts w:hint="eastAsia" w:ascii="Times New Roman" w:hAnsi="Times New Roman" w:eastAsia="仿宋" w:cs="Times New Roman"/>
          <w:color w:val="FF0000"/>
          <w:sz w:val="28"/>
          <w:szCs w:val="28"/>
          <w:lang w:val="en-US" w:eastAsia="zh-CN"/>
        </w:rPr>
        <w:t>0</w:t>
      </w:r>
      <w:r>
        <w:rPr>
          <w:rFonts w:hint="eastAsia" w:ascii="Times New Roman" w:hAnsi="Times New Roman" w:eastAsia="仿宋" w:cs="Times New Roman"/>
          <w:color w:val="FF0000"/>
          <w:sz w:val="28"/>
          <w:szCs w:val="28"/>
        </w:rPr>
        <w:t>分</w:t>
      </w:r>
      <w:r>
        <w:rPr>
          <w:rFonts w:hint="eastAsia" w:ascii="Times New Roman" w:hAnsi="Times New Roman" w:eastAsia="仿宋" w:cs="Times New Roman"/>
          <w:sz w:val="28"/>
          <w:szCs w:val="28"/>
        </w:rPr>
        <w:t>（北京时间）。</w:t>
      </w:r>
    </w:p>
    <w:p>
      <w:pPr>
        <w:tabs>
          <w:tab w:val="left" w:pos="6255"/>
        </w:tabs>
        <w:spacing w:line="520" w:lineRule="exact"/>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(二) 报名及获取</w:t>
      </w:r>
      <w:r>
        <w:rPr>
          <w:rFonts w:hint="eastAsia" w:ascii="Times New Roman" w:hAnsi="Times New Roman" w:eastAsia="仿宋" w:cs="Times New Roman"/>
          <w:sz w:val="28"/>
          <w:szCs w:val="28"/>
          <w:lang w:val="en-US" w:eastAsia="zh-CN"/>
        </w:rPr>
        <w:t>招标</w:t>
      </w:r>
      <w:r>
        <w:rPr>
          <w:rFonts w:hint="eastAsia" w:ascii="Times New Roman" w:hAnsi="Times New Roman" w:eastAsia="仿宋" w:cs="Times New Roman"/>
          <w:sz w:val="28"/>
          <w:szCs w:val="28"/>
        </w:rPr>
        <w:t>文件的地点：</w:t>
      </w:r>
      <w:r>
        <w:rPr>
          <w:rFonts w:hint="eastAsia" w:ascii="Times New Roman" w:hAnsi="Times New Roman" w:eastAsia="仿宋" w:cs="Times New Roman"/>
          <w:sz w:val="28"/>
          <w:szCs w:val="28"/>
          <w:lang w:val="en-US" w:eastAsia="zh-CN"/>
        </w:rPr>
        <w:t>南江农科村镇银行</w:t>
      </w:r>
      <w:r>
        <w:rPr>
          <w:rFonts w:hint="eastAsia" w:ascii="Times New Roman" w:hAnsi="Times New Roman" w:eastAsia="仿宋" w:cs="Times New Roman"/>
          <w:sz w:val="28"/>
          <w:szCs w:val="28"/>
        </w:rPr>
        <w:t>。</w:t>
      </w:r>
    </w:p>
    <w:p>
      <w:pPr>
        <w:tabs>
          <w:tab w:val="left" w:pos="6255"/>
        </w:tabs>
        <w:spacing w:line="520" w:lineRule="exact"/>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lang w:eastAsia="zh-CN"/>
        </w:rPr>
        <w:t>（</w:t>
      </w:r>
      <w:r>
        <w:rPr>
          <w:rFonts w:hint="eastAsia" w:ascii="Times New Roman" w:hAnsi="Times New Roman" w:eastAsia="仿宋" w:cs="Times New Roman"/>
          <w:sz w:val="28"/>
          <w:szCs w:val="28"/>
          <w:lang w:val="en-US" w:eastAsia="zh-CN"/>
        </w:rPr>
        <w:t>三</w:t>
      </w:r>
      <w:r>
        <w:rPr>
          <w:rFonts w:hint="eastAsia" w:ascii="Times New Roman" w:hAnsi="Times New Roman" w:eastAsia="仿宋" w:cs="Times New Roman"/>
          <w:sz w:val="28"/>
          <w:szCs w:val="28"/>
          <w:lang w:eastAsia="zh-CN"/>
        </w:rPr>
        <w:t>）</w:t>
      </w:r>
      <w:r>
        <w:rPr>
          <w:rFonts w:hint="eastAsia" w:ascii="Times New Roman" w:hAnsi="Times New Roman" w:eastAsia="仿宋" w:cs="Times New Roman"/>
          <w:sz w:val="28"/>
          <w:szCs w:val="28"/>
          <w:lang w:val="en-US" w:eastAsia="zh-CN"/>
        </w:rPr>
        <w:t>报名方式：</w:t>
      </w:r>
      <w:r>
        <w:rPr>
          <w:rFonts w:hint="eastAsia" w:ascii="Times New Roman" w:hAnsi="Times New Roman" w:eastAsia="仿宋" w:cs="Times New Roman"/>
          <w:sz w:val="28"/>
          <w:szCs w:val="28"/>
        </w:rPr>
        <w:fldChar w:fldCharType="begin"/>
      </w:r>
      <w:r>
        <w:rPr>
          <w:rFonts w:hint="eastAsia" w:ascii="Times New Roman" w:hAnsi="Times New Roman" w:eastAsia="仿宋" w:cs="Times New Roman"/>
          <w:sz w:val="28"/>
          <w:szCs w:val="28"/>
        </w:rPr>
        <w:instrText xml:space="preserve"> HYPERLINK "mailto:2．潜在供应商将单位介绍信、经办人身份证明扫描件发送至eyzwzx@163.com邮箱后打电话进行报名（0827-" </w:instrText>
      </w:r>
      <w:r>
        <w:rPr>
          <w:rFonts w:hint="eastAsia" w:ascii="Times New Roman" w:hAnsi="Times New Roman" w:eastAsia="仿宋" w:cs="Times New Roman"/>
          <w:sz w:val="28"/>
          <w:szCs w:val="28"/>
        </w:rPr>
        <w:fldChar w:fldCharType="separate"/>
      </w:r>
      <w:r>
        <w:rPr>
          <w:rFonts w:hint="eastAsia" w:ascii="Times New Roman" w:hAnsi="Times New Roman" w:eastAsia="仿宋" w:cs="Times New Roman"/>
          <w:sz w:val="28"/>
          <w:szCs w:val="28"/>
          <w:lang w:eastAsia="zh-CN"/>
        </w:rPr>
        <w:t>供应商</w:t>
      </w:r>
      <w:r>
        <w:rPr>
          <w:rFonts w:hint="eastAsia" w:ascii="Times New Roman" w:hAnsi="Times New Roman" w:eastAsia="仿宋" w:cs="Times New Roman"/>
          <w:sz w:val="28"/>
          <w:szCs w:val="28"/>
        </w:rPr>
        <w:t>将</w:t>
      </w:r>
      <w:r>
        <w:rPr>
          <w:rFonts w:hint="eastAsia" w:ascii="Times New Roman" w:hAnsi="Times New Roman" w:eastAsia="仿宋" w:cs="Times New Roman"/>
          <w:sz w:val="28"/>
          <w:szCs w:val="28"/>
          <w:lang w:eastAsia="zh-CN"/>
        </w:rPr>
        <w:t>供应商报名授权书及被授权人</w:t>
      </w:r>
      <w:r>
        <w:rPr>
          <w:rFonts w:hint="eastAsia" w:ascii="Times New Roman" w:hAnsi="Times New Roman" w:eastAsia="仿宋" w:cs="Times New Roman"/>
          <w:sz w:val="28"/>
          <w:szCs w:val="28"/>
        </w:rPr>
        <w:t>身份证明扫描件发送至</w:t>
      </w:r>
      <w:r>
        <w:rPr>
          <w:rFonts w:hint="eastAsia" w:ascii="Times New Roman" w:hAnsi="Times New Roman" w:eastAsia="仿宋" w:cs="Times New Roman"/>
          <w:color w:val="FF0000"/>
          <w:sz w:val="28"/>
          <w:szCs w:val="28"/>
          <w:lang w:val="en-US" w:eastAsia="zh-CN"/>
        </w:rPr>
        <w:t>766608201@qq.com</w:t>
      </w:r>
      <w:r>
        <w:rPr>
          <w:rFonts w:hint="eastAsia" w:ascii="Times New Roman" w:hAnsi="Times New Roman" w:eastAsia="仿宋" w:cs="Times New Roman"/>
          <w:color w:val="FF0000"/>
          <w:sz w:val="28"/>
          <w:szCs w:val="28"/>
        </w:rPr>
        <w:t>邮箱</w:t>
      </w:r>
      <w:r>
        <w:rPr>
          <w:rFonts w:hint="eastAsia" w:ascii="Times New Roman" w:hAnsi="Times New Roman" w:eastAsia="仿宋" w:cs="Times New Roman"/>
          <w:sz w:val="28"/>
          <w:szCs w:val="28"/>
        </w:rPr>
        <w:t>后打电话进行报名（0827-</w:t>
      </w:r>
      <w:r>
        <w:rPr>
          <w:rFonts w:hint="eastAsia" w:ascii="Times New Roman" w:hAnsi="Times New Roman" w:eastAsia="仿宋" w:cs="Times New Roman"/>
          <w:sz w:val="28"/>
          <w:szCs w:val="28"/>
        </w:rPr>
        <w:fldChar w:fldCharType="end"/>
      </w:r>
      <w:r>
        <w:rPr>
          <w:rFonts w:hint="eastAsia" w:ascii="Times New Roman" w:hAnsi="Times New Roman" w:eastAsia="仿宋" w:cs="Times New Roman"/>
          <w:color w:val="FF0000"/>
          <w:sz w:val="28"/>
          <w:szCs w:val="28"/>
          <w:lang w:val="en-US" w:eastAsia="zh-CN"/>
        </w:rPr>
        <w:t>8112886</w:t>
      </w:r>
      <w:r>
        <w:rPr>
          <w:rFonts w:hint="eastAsia" w:ascii="Times New Roman" w:hAnsi="Times New Roman" w:eastAsia="仿宋" w:cs="Times New Roman"/>
          <w:sz w:val="28"/>
          <w:szCs w:val="28"/>
        </w:rPr>
        <w:t>）,以</w:t>
      </w:r>
      <w:r>
        <w:rPr>
          <w:rFonts w:hint="eastAsia" w:ascii="Times New Roman" w:hAnsi="Times New Roman" w:eastAsia="仿宋" w:cs="Times New Roman"/>
          <w:sz w:val="28"/>
          <w:szCs w:val="28"/>
          <w:lang w:val="en-US" w:eastAsia="zh-CN"/>
        </w:rPr>
        <w:t>南江农科村镇银行</w:t>
      </w:r>
      <w:r>
        <w:rPr>
          <w:rFonts w:hint="eastAsia" w:ascii="Times New Roman" w:hAnsi="Times New Roman" w:eastAsia="仿宋" w:cs="Times New Roman"/>
          <w:sz w:val="28"/>
          <w:szCs w:val="28"/>
        </w:rPr>
        <w:t>收到</w:t>
      </w:r>
      <w:r>
        <w:rPr>
          <w:rFonts w:hint="eastAsia" w:ascii="Times New Roman" w:hAnsi="Times New Roman" w:eastAsia="仿宋" w:cs="Times New Roman"/>
          <w:sz w:val="28"/>
          <w:szCs w:val="28"/>
          <w:lang w:eastAsia="zh-CN"/>
        </w:rPr>
        <w:t>供应商报名授权书</w:t>
      </w:r>
      <w:r>
        <w:rPr>
          <w:rFonts w:hint="eastAsia" w:ascii="Times New Roman" w:hAnsi="Times New Roman" w:eastAsia="仿宋" w:cs="Times New Roman"/>
          <w:sz w:val="28"/>
          <w:szCs w:val="28"/>
        </w:rPr>
        <w:t>（须注明项目名称、项目编号、联系人及联系电话、电子邮箱）</w:t>
      </w:r>
      <w:r>
        <w:rPr>
          <w:rFonts w:hint="eastAsia" w:ascii="Times New Roman" w:hAnsi="Times New Roman" w:eastAsia="仿宋" w:cs="Times New Roman"/>
          <w:sz w:val="28"/>
          <w:szCs w:val="28"/>
          <w:lang w:eastAsia="zh-CN"/>
        </w:rPr>
        <w:t>及被授权人</w:t>
      </w:r>
      <w:r>
        <w:rPr>
          <w:rFonts w:hint="eastAsia" w:ascii="Times New Roman" w:hAnsi="Times New Roman" w:eastAsia="仿宋" w:cs="Times New Roman"/>
          <w:sz w:val="28"/>
          <w:szCs w:val="28"/>
        </w:rPr>
        <w:t>身份证明时间为准。未在本项目</w:t>
      </w:r>
      <w:r>
        <w:rPr>
          <w:rFonts w:hint="eastAsia" w:ascii="Times New Roman" w:hAnsi="Times New Roman" w:eastAsia="仿宋" w:cs="Times New Roman"/>
          <w:sz w:val="28"/>
          <w:szCs w:val="28"/>
          <w:lang w:eastAsia="zh-CN"/>
        </w:rPr>
        <w:t>报名时间</w:t>
      </w:r>
      <w:r>
        <w:rPr>
          <w:rFonts w:hint="eastAsia" w:ascii="Times New Roman" w:hAnsi="Times New Roman" w:eastAsia="仿宋" w:cs="Times New Roman"/>
          <w:sz w:val="28"/>
          <w:szCs w:val="28"/>
        </w:rPr>
        <w:t>段内有效送达电子邮件的</w:t>
      </w:r>
      <w:r>
        <w:rPr>
          <w:rFonts w:hint="eastAsia" w:ascii="Times New Roman" w:hAnsi="Times New Roman" w:eastAsia="仿宋" w:cs="Times New Roman"/>
          <w:sz w:val="28"/>
          <w:szCs w:val="28"/>
          <w:lang w:eastAsia="zh-CN"/>
        </w:rPr>
        <w:t>供应商</w:t>
      </w:r>
      <w:r>
        <w:rPr>
          <w:rFonts w:hint="eastAsia" w:ascii="Times New Roman" w:hAnsi="Times New Roman" w:eastAsia="仿宋" w:cs="Times New Roman"/>
          <w:sz w:val="28"/>
          <w:szCs w:val="28"/>
        </w:rPr>
        <w:t>不能参加本项目的采购活动。</w:t>
      </w:r>
    </w:p>
    <w:p>
      <w:pPr>
        <w:tabs>
          <w:tab w:val="left" w:pos="6255"/>
        </w:tabs>
        <w:spacing w:line="520" w:lineRule="exact"/>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四</w:t>
      </w:r>
      <w:r>
        <w:rPr>
          <w:rFonts w:hint="eastAsia" w:ascii="Times New Roman" w:hAnsi="Times New Roman" w:eastAsia="仿宋" w:cs="Times New Roman"/>
          <w:sz w:val="28"/>
          <w:szCs w:val="28"/>
        </w:rPr>
        <w:t>) 获取</w:t>
      </w:r>
      <w:r>
        <w:rPr>
          <w:rFonts w:hint="eastAsia" w:ascii="Times New Roman" w:hAnsi="Times New Roman" w:eastAsia="仿宋" w:cs="Times New Roman"/>
          <w:sz w:val="28"/>
          <w:szCs w:val="28"/>
          <w:lang w:val="en-US" w:eastAsia="zh-CN"/>
        </w:rPr>
        <w:t>招标</w:t>
      </w:r>
      <w:r>
        <w:rPr>
          <w:rFonts w:hint="eastAsia" w:ascii="Times New Roman" w:hAnsi="Times New Roman" w:eastAsia="仿宋" w:cs="Times New Roman"/>
          <w:sz w:val="28"/>
          <w:szCs w:val="28"/>
        </w:rPr>
        <w:t>文件的方式：现场领取</w:t>
      </w:r>
      <w:r>
        <w:rPr>
          <w:rFonts w:hint="eastAsia" w:ascii="Times New Roman" w:hAnsi="Times New Roman" w:eastAsia="仿宋" w:cs="Times New Roman"/>
          <w:sz w:val="28"/>
          <w:szCs w:val="28"/>
          <w:lang w:val="en-US" w:eastAsia="zh-CN"/>
        </w:rPr>
        <w:t>或发送至供应商指定邮箱</w:t>
      </w:r>
      <w:r>
        <w:rPr>
          <w:rFonts w:hint="eastAsia" w:ascii="Times New Roman" w:hAnsi="Times New Roman" w:eastAsia="仿宋" w:cs="Times New Roman"/>
          <w:sz w:val="28"/>
          <w:szCs w:val="28"/>
        </w:rPr>
        <w:t>。</w:t>
      </w:r>
    </w:p>
    <w:p>
      <w:pPr>
        <w:tabs>
          <w:tab w:val="left" w:pos="6255"/>
        </w:tabs>
        <w:spacing w:line="520" w:lineRule="exact"/>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五</w:t>
      </w:r>
      <w:r>
        <w:rPr>
          <w:rFonts w:hint="eastAsia" w:ascii="Times New Roman" w:hAnsi="Times New Roman" w:eastAsia="仿宋" w:cs="Times New Roman"/>
          <w:sz w:val="28"/>
          <w:szCs w:val="28"/>
        </w:rPr>
        <w:t>) 供应商应在规定的时间内</w:t>
      </w:r>
      <w:r>
        <w:rPr>
          <w:rFonts w:hint="eastAsia" w:ascii="Times New Roman" w:hAnsi="Times New Roman" w:eastAsia="仿宋" w:cs="Times New Roman"/>
          <w:sz w:val="28"/>
          <w:szCs w:val="28"/>
          <w:lang w:val="en-US" w:eastAsia="zh-CN"/>
        </w:rPr>
        <w:t>按指定方式</w:t>
      </w:r>
      <w:r>
        <w:rPr>
          <w:rFonts w:hint="eastAsia" w:ascii="Times New Roman" w:hAnsi="Times New Roman" w:eastAsia="仿宋" w:cs="Times New Roman"/>
          <w:sz w:val="28"/>
          <w:szCs w:val="28"/>
        </w:rPr>
        <w:t>获取本项目</w:t>
      </w:r>
      <w:r>
        <w:rPr>
          <w:rFonts w:hint="eastAsia" w:ascii="Times New Roman" w:hAnsi="Times New Roman" w:eastAsia="仿宋" w:cs="Times New Roman"/>
          <w:sz w:val="28"/>
          <w:szCs w:val="28"/>
          <w:lang w:val="en-US" w:eastAsia="zh-CN"/>
        </w:rPr>
        <w:t>招标</w:t>
      </w:r>
      <w:r>
        <w:rPr>
          <w:rFonts w:hint="eastAsia" w:ascii="Times New Roman" w:hAnsi="Times New Roman" w:eastAsia="仿宋" w:cs="Times New Roman"/>
          <w:sz w:val="28"/>
          <w:szCs w:val="28"/>
        </w:rPr>
        <w:t>文件，如在规定时间内未领取</w:t>
      </w:r>
      <w:r>
        <w:rPr>
          <w:rFonts w:hint="eastAsia" w:ascii="Times New Roman" w:hAnsi="Times New Roman" w:eastAsia="仿宋" w:cs="Times New Roman"/>
          <w:sz w:val="28"/>
          <w:szCs w:val="28"/>
          <w:lang w:val="en-US" w:eastAsia="zh-CN"/>
        </w:rPr>
        <w:t>招标</w:t>
      </w:r>
      <w:r>
        <w:rPr>
          <w:rFonts w:hint="eastAsia" w:ascii="Times New Roman" w:hAnsi="Times New Roman" w:eastAsia="仿宋" w:cs="Times New Roman"/>
          <w:sz w:val="28"/>
          <w:szCs w:val="28"/>
        </w:rPr>
        <w:t>文件的供应商均无资格参加该项目的</w:t>
      </w:r>
      <w:r>
        <w:rPr>
          <w:rFonts w:hint="eastAsia" w:ascii="Times New Roman" w:hAnsi="Times New Roman" w:eastAsia="仿宋" w:cs="Times New Roman"/>
          <w:sz w:val="28"/>
          <w:szCs w:val="28"/>
          <w:lang w:val="en-US" w:eastAsia="zh-CN"/>
        </w:rPr>
        <w:t>投标活动</w:t>
      </w:r>
      <w:r>
        <w:rPr>
          <w:rFonts w:hint="eastAsia" w:ascii="Times New Roman" w:hAnsi="Times New Roman" w:eastAsia="仿宋" w:cs="Times New Roman"/>
          <w:sz w:val="28"/>
          <w:szCs w:val="28"/>
        </w:rPr>
        <w:t>。</w:t>
      </w:r>
    </w:p>
    <w:p>
      <w:pPr>
        <w:spacing w:line="520" w:lineRule="exact"/>
        <w:ind w:firstLine="562" w:firstLineChars="200"/>
        <w:rPr>
          <w:rFonts w:hint="eastAsia" w:ascii="Times New Roman" w:hAnsi="Times New Roman" w:eastAsia="仿宋" w:cs="Times New Roman"/>
          <w:b/>
          <w:sz w:val="28"/>
          <w:szCs w:val="28"/>
          <w:lang w:val="en-US" w:eastAsia="zh-CN"/>
        </w:rPr>
      </w:pPr>
      <w:r>
        <w:rPr>
          <w:rFonts w:hint="eastAsia" w:ascii="Times New Roman" w:hAnsi="Times New Roman" w:eastAsia="仿宋" w:cs="Times New Roman"/>
          <w:b/>
          <w:sz w:val="28"/>
          <w:szCs w:val="28"/>
          <w:lang w:val="en-US" w:eastAsia="zh-CN"/>
        </w:rPr>
        <w:t>七、投标文件递交</w:t>
      </w:r>
    </w:p>
    <w:p>
      <w:pPr>
        <w:tabs>
          <w:tab w:val="left" w:pos="6255"/>
        </w:tabs>
        <w:spacing w:line="520" w:lineRule="exact"/>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 xml:space="preserve">（一）递交截止时间： </w:t>
      </w:r>
      <w:r>
        <w:rPr>
          <w:rFonts w:hint="eastAsia" w:ascii="Times New Roman" w:hAnsi="Times New Roman" w:eastAsia="仿宋" w:cs="Times New Roman"/>
          <w:color w:val="FF0000"/>
          <w:sz w:val="28"/>
          <w:szCs w:val="28"/>
        </w:rPr>
        <w:t>202</w:t>
      </w:r>
      <w:r>
        <w:rPr>
          <w:rFonts w:hint="eastAsia" w:ascii="Times New Roman" w:hAnsi="Times New Roman" w:eastAsia="仿宋" w:cs="Times New Roman"/>
          <w:color w:val="FF0000"/>
          <w:sz w:val="28"/>
          <w:szCs w:val="28"/>
          <w:lang w:val="en-US" w:eastAsia="zh-CN"/>
        </w:rPr>
        <w:t>1</w:t>
      </w:r>
      <w:r>
        <w:rPr>
          <w:rFonts w:hint="eastAsia" w:ascii="Times New Roman" w:hAnsi="Times New Roman" w:eastAsia="仿宋" w:cs="Times New Roman"/>
          <w:color w:val="FF0000"/>
          <w:sz w:val="28"/>
          <w:szCs w:val="28"/>
        </w:rPr>
        <w:t>年</w:t>
      </w:r>
      <w:r>
        <w:rPr>
          <w:rFonts w:hint="eastAsia" w:ascii="Times New Roman" w:hAnsi="Times New Roman" w:eastAsia="仿宋" w:cs="Times New Roman"/>
          <w:color w:val="FF0000"/>
          <w:sz w:val="28"/>
          <w:szCs w:val="28"/>
          <w:lang w:val="en-US" w:eastAsia="zh-CN"/>
        </w:rPr>
        <w:t>6</w:t>
      </w:r>
      <w:r>
        <w:rPr>
          <w:rFonts w:hint="eastAsia" w:ascii="Times New Roman" w:hAnsi="Times New Roman" w:eastAsia="仿宋" w:cs="Times New Roman"/>
          <w:color w:val="FF0000"/>
          <w:sz w:val="28"/>
          <w:szCs w:val="28"/>
        </w:rPr>
        <w:t>月</w:t>
      </w:r>
      <w:r>
        <w:rPr>
          <w:rFonts w:hint="eastAsia" w:ascii="Times New Roman" w:hAnsi="Times New Roman" w:eastAsia="仿宋" w:cs="Times New Roman"/>
          <w:color w:val="FF0000"/>
          <w:sz w:val="28"/>
          <w:szCs w:val="28"/>
          <w:lang w:val="en-US" w:eastAsia="zh-CN"/>
        </w:rPr>
        <w:t>11</w:t>
      </w:r>
      <w:r>
        <w:rPr>
          <w:rFonts w:hint="eastAsia" w:ascii="Times New Roman" w:hAnsi="Times New Roman" w:eastAsia="仿宋" w:cs="Times New Roman"/>
          <w:color w:val="FF0000"/>
          <w:sz w:val="28"/>
          <w:szCs w:val="28"/>
        </w:rPr>
        <w:t xml:space="preserve">日 </w:t>
      </w:r>
      <w:r>
        <w:rPr>
          <w:rFonts w:hint="eastAsia" w:ascii="Times New Roman" w:hAnsi="Times New Roman" w:eastAsia="仿宋" w:cs="Times New Roman"/>
          <w:color w:val="FF0000"/>
          <w:sz w:val="28"/>
          <w:szCs w:val="28"/>
          <w:lang w:val="en-US" w:eastAsia="zh-CN"/>
        </w:rPr>
        <w:t>24</w:t>
      </w:r>
      <w:r>
        <w:rPr>
          <w:rFonts w:hint="eastAsia" w:ascii="Times New Roman" w:hAnsi="Times New Roman" w:eastAsia="仿宋" w:cs="Times New Roman"/>
          <w:color w:val="FF0000"/>
          <w:sz w:val="28"/>
          <w:szCs w:val="28"/>
        </w:rPr>
        <w:t>时</w:t>
      </w:r>
      <w:r>
        <w:rPr>
          <w:rFonts w:hint="eastAsia" w:ascii="Times New Roman" w:hAnsi="Times New Roman" w:eastAsia="仿宋" w:cs="Times New Roman"/>
          <w:color w:val="FF0000"/>
          <w:sz w:val="28"/>
          <w:szCs w:val="28"/>
          <w:lang w:val="en-US" w:eastAsia="zh-CN"/>
        </w:rPr>
        <w:t>0</w:t>
      </w:r>
      <w:r>
        <w:rPr>
          <w:rFonts w:hint="eastAsia" w:ascii="Times New Roman" w:hAnsi="Times New Roman" w:eastAsia="仿宋" w:cs="Times New Roman"/>
          <w:color w:val="FF0000"/>
          <w:sz w:val="28"/>
          <w:szCs w:val="28"/>
        </w:rPr>
        <w:t>分</w:t>
      </w:r>
      <w:r>
        <w:rPr>
          <w:rFonts w:hint="eastAsia" w:ascii="Times New Roman" w:hAnsi="Times New Roman" w:eastAsia="仿宋" w:cs="Times New Roman"/>
          <w:sz w:val="28"/>
          <w:szCs w:val="28"/>
        </w:rPr>
        <w:t>（北京时间）。</w:t>
      </w:r>
    </w:p>
    <w:p>
      <w:pPr>
        <w:tabs>
          <w:tab w:val="left" w:pos="6255"/>
        </w:tabs>
        <w:spacing w:line="520" w:lineRule="exact"/>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（二）递交的地点：</w:t>
      </w:r>
      <w:r>
        <w:rPr>
          <w:rFonts w:hint="eastAsia" w:ascii="Times New Roman" w:hAnsi="Times New Roman" w:eastAsia="仿宋" w:cs="Times New Roman"/>
          <w:sz w:val="28"/>
          <w:szCs w:val="28"/>
          <w:lang w:val="en-US" w:eastAsia="zh-CN"/>
        </w:rPr>
        <w:t>南江农科村镇银行</w:t>
      </w:r>
      <w:r>
        <w:rPr>
          <w:rFonts w:hint="eastAsia" w:ascii="Times New Roman" w:hAnsi="Times New Roman" w:eastAsia="仿宋" w:cs="Times New Roman"/>
          <w:sz w:val="28"/>
          <w:szCs w:val="28"/>
        </w:rPr>
        <w:t>。供应商应当在</w:t>
      </w:r>
      <w:r>
        <w:rPr>
          <w:rFonts w:hint="eastAsia" w:ascii="Times New Roman" w:hAnsi="Times New Roman" w:eastAsia="仿宋" w:cs="Times New Roman"/>
          <w:sz w:val="28"/>
          <w:szCs w:val="28"/>
          <w:lang w:val="en-US" w:eastAsia="zh-CN"/>
        </w:rPr>
        <w:t>投标</w:t>
      </w:r>
      <w:r>
        <w:rPr>
          <w:rFonts w:hint="eastAsia" w:ascii="Times New Roman" w:hAnsi="Times New Roman" w:eastAsia="仿宋" w:cs="Times New Roman"/>
          <w:sz w:val="28"/>
          <w:szCs w:val="28"/>
        </w:rPr>
        <w:t>文件递交截止时间前，将</w:t>
      </w:r>
      <w:r>
        <w:rPr>
          <w:rFonts w:hint="eastAsia" w:ascii="Times New Roman" w:hAnsi="Times New Roman" w:eastAsia="仿宋" w:cs="Times New Roman"/>
          <w:sz w:val="28"/>
          <w:szCs w:val="28"/>
          <w:lang w:val="en-US" w:eastAsia="zh-CN"/>
        </w:rPr>
        <w:t>投标</w:t>
      </w:r>
      <w:r>
        <w:rPr>
          <w:rFonts w:hint="eastAsia" w:ascii="Times New Roman" w:hAnsi="Times New Roman" w:eastAsia="仿宋" w:cs="Times New Roman"/>
          <w:sz w:val="28"/>
          <w:szCs w:val="28"/>
        </w:rPr>
        <w:t>文件密封送达指定地点。在截止时间后送达的</w:t>
      </w:r>
      <w:r>
        <w:rPr>
          <w:rFonts w:hint="eastAsia" w:ascii="Times New Roman" w:hAnsi="Times New Roman" w:eastAsia="仿宋" w:cs="Times New Roman"/>
          <w:sz w:val="28"/>
          <w:szCs w:val="28"/>
          <w:lang w:val="en-US" w:eastAsia="zh-CN"/>
        </w:rPr>
        <w:t>投标</w:t>
      </w:r>
      <w:r>
        <w:rPr>
          <w:rFonts w:hint="eastAsia" w:ascii="Times New Roman" w:hAnsi="Times New Roman" w:eastAsia="仿宋" w:cs="Times New Roman"/>
          <w:sz w:val="28"/>
          <w:szCs w:val="28"/>
        </w:rPr>
        <w:t xml:space="preserve">文件为无效文件，将被采购人拒收。 </w:t>
      </w:r>
    </w:p>
    <w:p>
      <w:pPr>
        <w:tabs>
          <w:tab w:val="left" w:pos="6255"/>
        </w:tabs>
        <w:spacing w:line="520" w:lineRule="exact"/>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六、开标时间：</w:t>
      </w:r>
      <w:r>
        <w:rPr>
          <w:rFonts w:hint="eastAsia" w:ascii="Times New Roman" w:hAnsi="Times New Roman" w:eastAsia="仿宋" w:cs="Times New Roman"/>
          <w:color w:val="FF0000"/>
          <w:sz w:val="28"/>
          <w:szCs w:val="28"/>
        </w:rPr>
        <w:t>202</w:t>
      </w:r>
      <w:r>
        <w:rPr>
          <w:rFonts w:hint="eastAsia" w:ascii="Times New Roman" w:hAnsi="Times New Roman" w:eastAsia="仿宋" w:cs="Times New Roman"/>
          <w:color w:val="FF0000"/>
          <w:sz w:val="28"/>
          <w:szCs w:val="28"/>
          <w:lang w:val="en-US" w:eastAsia="zh-CN"/>
        </w:rPr>
        <w:t>1</w:t>
      </w:r>
      <w:r>
        <w:rPr>
          <w:rFonts w:hint="eastAsia" w:ascii="Times New Roman" w:hAnsi="Times New Roman" w:eastAsia="仿宋" w:cs="Times New Roman"/>
          <w:color w:val="FF0000"/>
          <w:sz w:val="28"/>
          <w:szCs w:val="28"/>
        </w:rPr>
        <w:t xml:space="preserve"> 年 </w:t>
      </w:r>
      <w:r>
        <w:rPr>
          <w:rFonts w:hint="eastAsia" w:ascii="Times New Roman" w:hAnsi="Times New Roman" w:eastAsia="仿宋" w:cs="Times New Roman"/>
          <w:color w:val="FF0000"/>
          <w:sz w:val="28"/>
          <w:szCs w:val="28"/>
          <w:lang w:val="en-US" w:eastAsia="zh-CN"/>
        </w:rPr>
        <w:t>6</w:t>
      </w:r>
      <w:r>
        <w:rPr>
          <w:rFonts w:hint="eastAsia" w:ascii="Times New Roman" w:hAnsi="Times New Roman" w:eastAsia="仿宋" w:cs="Times New Roman"/>
          <w:color w:val="FF0000"/>
          <w:sz w:val="28"/>
          <w:szCs w:val="28"/>
        </w:rPr>
        <w:t xml:space="preserve"> 月</w:t>
      </w:r>
      <w:r>
        <w:rPr>
          <w:rFonts w:hint="eastAsia" w:ascii="Times New Roman" w:hAnsi="Times New Roman" w:eastAsia="仿宋" w:cs="Times New Roman"/>
          <w:sz w:val="28"/>
          <w:szCs w:val="28"/>
        </w:rPr>
        <w:t>（北京时间</w:t>
      </w:r>
      <w:r>
        <w:rPr>
          <w:rFonts w:hint="eastAsia" w:ascii="Times New Roman" w:hAnsi="Times New Roman" w:eastAsia="仿宋" w:cs="Times New Roman"/>
          <w:sz w:val="28"/>
          <w:szCs w:val="28"/>
          <w:lang w:eastAsia="zh-CN"/>
        </w:rPr>
        <w:t>，</w:t>
      </w:r>
      <w:r>
        <w:rPr>
          <w:rFonts w:hint="eastAsia" w:ascii="Times New Roman" w:hAnsi="Times New Roman" w:eastAsia="仿宋" w:cs="Times New Roman"/>
          <w:sz w:val="28"/>
          <w:szCs w:val="28"/>
          <w:lang w:val="en-US" w:eastAsia="zh-CN"/>
        </w:rPr>
        <w:t>具体时间另行通知</w:t>
      </w:r>
      <w:r>
        <w:rPr>
          <w:rFonts w:hint="eastAsia" w:ascii="Times New Roman" w:hAnsi="Times New Roman" w:eastAsia="仿宋" w:cs="Times New Roman"/>
          <w:sz w:val="28"/>
          <w:szCs w:val="28"/>
        </w:rPr>
        <w:t xml:space="preserve">）。 </w:t>
      </w:r>
    </w:p>
    <w:p>
      <w:pPr>
        <w:tabs>
          <w:tab w:val="left" w:pos="6255"/>
        </w:tabs>
        <w:spacing w:line="520" w:lineRule="exact"/>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七、开标地点：</w:t>
      </w:r>
      <w:r>
        <w:rPr>
          <w:rFonts w:hint="eastAsia" w:ascii="Times New Roman" w:hAnsi="Times New Roman" w:eastAsia="仿宋" w:cs="Times New Roman"/>
          <w:color w:val="FF0000"/>
          <w:sz w:val="28"/>
          <w:szCs w:val="28"/>
          <w:lang w:val="en-US" w:eastAsia="zh-CN"/>
        </w:rPr>
        <w:t>南江农科村镇银行会议室</w:t>
      </w:r>
      <w:r>
        <w:rPr>
          <w:rFonts w:hint="eastAsia" w:ascii="Times New Roman" w:hAnsi="Times New Roman" w:eastAsia="仿宋" w:cs="Times New Roman"/>
          <w:sz w:val="28"/>
          <w:szCs w:val="28"/>
        </w:rPr>
        <w:t xml:space="preserve">。 </w:t>
      </w:r>
    </w:p>
    <w:p>
      <w:pPr>
        <w:tabs>
          <w:tab w:val="left" w:pos="6255"/>
        </w:tabs>
        <w:spacing w:line="520" w:lineRule="exact"/>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八、采购项目联系人及联系电话</w:t>
      </w:r>
    </w:p>
    <w:p>
      <w:pPr>
        <w:tabs>
          <w:tab w:val="left" w:pos="6255"/>
        </w:tabs>
        <w:spacing w:line="520" w:lineRule="exact"/>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采 购 人：</w:t>
      </w:r>
      <w:r>
        <w:rPr>
          <w:rFonts w:hint="eastAsia" w:ascii="Times New Roman" w:hAnsi="Times New Roman" w:eastAsia="仿宋" w:cs="Times New Roman"/>
          <w:sz w:val="28"/>
          <w:szCs w:val="28"/>
          <w:lang w:val="en-US" w:eastAsia="zh-CN"/>
        </w:rPr>
        <w:t>南江农科村镇银行</w:t>
      </w:r>
      <w:r>
        <w:rPr>
          <w:rFonts w:hint="eastAsia" w:ascii="Times New Roman" w:hAnsi="Times New Roman" w:eastAsia="仿宋" w:cs="Times New Roman"/>
          <w:sz w:val="28"/>
          <w:szCs w:val="28"/>
        </w:rPr>
        <w:t xml:space="preserve"> </w:t>
      </w:r>
    </w:p>
    <w:p>
      <w:pPr>
        <w:tabs>
          <w:tab w:val="left" w:pos="6255"/>
        </w:tabs>
        <w:spacing w:line="520" w:lineRule="exact"/>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通讯地址：</w:t>
      </w:r>
      <w:r>
        <w:rPr>
          <w:rFonts w:hint="eastAsia" w:ascii="Times New Roman" w:hAnsi="Times New Roman" w:eastAsia="仿宋" w:cs="Times New Roman"/>
          <w:color w:val="FF0000"/>
          <w:sz w:val="28"/>
          <w:szCs w:val="28"/>
          <w:lang w:val="en-US" w:eastAsia="zh-CN"/>
        </w:rPr>
        <w:t>四川省巴中市南江县光雾山大道朝阳段86号（南江农科村镇银行）</w:t>
      </w:r>
      <w:r>
        <w:rPr>
          <w:rFonts w:hint="eastAsia" w:ascii="Times New Roman" w:hAnsi="Times New Roman" w:eastAsia="仿宋" w:cs="Times New Roman"/>
          <w:sz w:val="28"/>
          <w:szCs w:val="28"/>
        </w:rPr>
        <w:t xml:space="preserve"> </w:t>
      </w:r>
    </w:p>
    <w:p>
      <w:pPr>
        <w:tabs>
          <w:tab w:val="left" w:pos="6255"/>
        </w:tabs>
        <w:spacing w:line="520" w:lineRule="exact"/>
        <w:ind w:firstLine="560" w:firstLineChars="200"/>
        <w:rPr>
          <w:rFonts w:hint="eastAsia" w:ascii="Times New Roman" w:hAnsi="Times New Roman" w:eastAsia="仿宋" w:cs="Times New Roman"/>
          <w:sz w:val="28"/>
          <w:szCs w:val="28"/>
          <w:lang w:val="en-US"/>
        </w:rPr>
      </w:pPr>
      <w:r>
        <w:rPr>
          <w:rFonts w:hint="eastAsia" w:ascii="Times New Roman" w:hAnsi="Times New Roman" w:eastAsia="仿宋" w:cs="Times New Roman"/>
          <w:sz w:val="28"/>
          <w:szCs w:val="28"/>
        </w:rPr>
        <w:t>联  系 人：</w:t>
      </w:r>
      <w:r>
        <w:rPr>
          <w:rFonts w:hint="eastAsia" w:ascii="Times New Roman" w:hAnsi="Times New Roman" w:eastAsia="仿宋" w:cs="Times New Roman"/>
          <w:color w:val="FF0000"/>
          <w:sz w:val="28"/>
          <w:szCs w:val="28"/>
          <w:lang w:val="en-US" w:eastAsia="zh-CN"/>
        </w:rPr>
        <w:t>赵竣贤</w:t>
      </w:r>
    </w:p>
    <w:p>
      <w:pPr>
        <w:tabs>
          <w:tab w:val="left" w:pos="6255"/>
        </w:tabs>
        <w:spacing w:line="520" w:lineRule="exact"/>
        <w:ind w:firstLine="560" w:firstLineChars="200"/>
        <w:rPr>
          <w:rFonts w:hint="eastAsia" w:ascii="Times New Roman" w:hAnsi="Times New Roman" w:eastAsia="仿宋" w:cs="Times New Roman"/>
          <w:sz w:val="28"/>
          <w:szCs w:val="28"/>
          <w:lang w:val="en-US"/>
        </w:rPr>
      </w:pPr>
      <w:r>
        <w:rPr>
          <w:rFonts w:hint="eastAsia" w:ascii="Times New Roman" w:hAnsi="Times New Roman" w:eastAsia="仿宋" w:cs="Times New Roman"/>
          <w:sz w:val="28"/>
          <w:szCs w:val="28"/>
        </w:rPr>
        <w:t>联系电话：</w:t>
      </w:r>
      <w:r>
        <w:rPr>
          <w:rFonts w:hint="eastAsia" w:ascii="Times New Roman" w:hAnsi="Times New Roman" w:eastAsia="仿宋" w:cs="Times New Roman"/>
          <w:color w:val="FF0000"/>
          <w:sz w:val="28"/>
          <w:szCs w:val="28"/>
          <w:lang w:val="en-US" w:eastAsia="zh-CN"/>
        </w:rPr>
        <w:t>0827-8112886</w:t>
      </w:r>
    </w:p>
    <w:p>
      <w:pPr>
        <w:tabs>
          <w:tab w:val="left" w:pos="6255"/>
        </w:tabs>
        <w:spacing w:line="520" w:lineRule="exact"/>
        <w:ind w:leftChars="2300" w:firstLine="560" w:firstLineChars="200"/>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南江农科村镇银行</w:t>
      </w:r>
    </w:p>
    <w:p>
      <w:pPr>
        <w:tabs>
          <w:tab w:val="left" w:pos="6255"/>
        </w:tabs>
        <w:spacing w:line="520" w:lineRule="exact"/>
        <w:ind w:leftChars="2300" w:firstLine="1120" w:firstLineChars="400"/>
        <w:rPr>
          <w:rFonts w:hint="default"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2021年5月</w:t>
      </w:r>
    </w:p>
    <w:p>
      <w:pPr>
        <w:widowControl/>
        <w:spacing w:line="520" w:lineRule="exact"/>
        <w:jc w:val="left"/>
        <w:rPr>
          <w:rFonts w:ascii="Times New Roman" w:hAnsi="Times New Roman" w:eastAsia="仿宋" w:cs="Times New Roman"/>
          <w:sz w:val="28"/>
          <w:szCs w:val="28"/>
        </w:rPr>
      </w:pPr>
      <w:r>
        <w:rPr>
          <w:rFonts w:ascii="Times New Roman" w:hAnsi="Times New Roman" w:eastAsia="仿宋" w:cs="Times New Roman"/>
          <w:sz w:val="28"/>
          <w:szCs w:val="28"/>
        </w:rPr>
        <w:br w:type="page"/>
      </w:r>
    </w:p>
    <w:p>
      <w:pPr>
        <w:widowControl/>
        <w:spacing w:line="520" w:lineRule="exact"/>
        <w:jc w:val="center"/>
        <w:outlineLvl w:val="0"/>
        <w:rPr>
          <w:rFonts w:ascii="Times New Roman" w:hAnsi="Times New Roman" w:eastAsia="黑体" w:cs="Times New Roman"/>
          <w:bCs/>
          <w:sz w:val="36"/>
          <w:szCs w:val="32"/>
        </w:rPr>
      </w:pPr>
      <w:bookmarkStart w:id="1" w:name="_Toc20234159"/>
      <w:r>
        <w:rPr>
          <w:rFonts w:ascii="Times New Roman" w:hAnsi="Times New Roman" w:eastAsia="黑体" w:cs="Times New Roman"/>
          <w:bCs/>
          <w:sz w:val="36"/>
          <w:szCs w:val="32"/>
        </w:rPr>
        <w:t>第二章</w:t>
      </w:r>
      <w:r>
        <w:rPr>
          <w:rFonts w:ascii="Times New Roman" w:hAnsi="Times New Roman" w:eastAsia="黑体" w:cs="Times New Roman"/>
          <w:bCs/>
          <w:sz w:val="36"/>
          <w:szCs w:val="32"/>
        </w:rPr>
        <w:tab/>
      </w:r>
      <w:r>
        <w:rPr>
          <w:rFonts w:ascii="Times New Roman" w:hAnsi="Times New Roman" w:eastAsia="黑体" w:cs="Times New Roman"/>
          <w:bCs/>
          <w:sz w:val="36"/>
          <w:szCs w:val="32"/>
        </w:rPr>
        <w:t>投标人须知</w:t>
      </w:r>
      <w:bookmarkEnd w:id="1"/>
    </w:p>
    <w:p>
      <w:pPr>
        <w:spacing w:line="520" w:lineRule="exact"/>
        <w:ind w:firstLine="562" w:firstLineChars="200"/>
        <w:rPr>
          <w:rFonts w:ascii="Times New Roman" w:hAnsi="Times New Roman" w:eastAsia="仿宋" w:cs="Times New Roman"/>
          <w:b/>
          <w:sz w:val="28"/>
          <w:szCs w:val="28"/>
        </w:rPr>
      </w:pPr>
    </w:p>
    <w:p>
      <w:pPr>
        <w:pStyle w:val="29"/>
        <w:numPr>
          <w:ilvl w:val="0"/>
          <w:numId w:val="1"/>
        </w:numPr>
        <w:spacing w:line="520" w:lineRule="exact"/>
        <w:ind w:firstLineChars="0"/>
        <w:rPr>
          <w:rFonts w:ascii="Times New Roman" w:hAnsi="Times New Roman" w:eastAsia="仿宋" w:cs="Times New Roman"/>
          <w:b/>
          <w:sz w:val="28"/>
          <w:szCs w:val="28"/>
        </w:rPr>
      </w:pPr>
      <w:r>
        <w:rPr>
          <w:rFonts w:ascii="Times New Roman" w:hAnsi="Times New Roman" w:eastAsia="仿宋" w:cs="Times New Roman"/>
          <w:b/>
          <w:sz w:val="28"/>
          <w:szCs w:val="28"/>
        </w:rPr>
        <w:t>投标人须知附表</w:t>
      </w:r>
    </w:p>
    <w:tbl>
      <w:tblPr>
        <w:tblStyle w:val="16"/>
        <w:tblW w:w="9162"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594"/>
        <w:gridCol w:w="1281"/>
        <w:gridCol w:w="7287"/>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blHeader/>
          <w:jc w:val="center"/>
        </w:trPr>
        <w:tc>
          <w:tcPr>
            <w:tcW w:w="594" w:type="dxa"/>
            <w:tcBorders>
              <w:top w:val="single" w:color="auto" w:sz="18" w:space="0"/>
            </w:tcBorders>
            <w:vAlign w:val="center"/>
          </w:tcPr>
          <w:p>
            <w:pPr>
              <w:pStyle w:val="31"/>
              <w:spacing w:line="300" w:lineRule="auto"/>
              <w:jc w:val="center"/>
              <w:rPr>
                <w:rFonts w:ascii="Times New Roman" w:hAnsi="Times New Roman" w:eastAsia="仿宋" w:cs="Times New Roman"/>
                <w:b/>
                <w:lang w:val="zh-CN"/>
              </w:rPr>
            </w:pPr>
            <w:r>
              <w:rPr>
                <w:rFonts w:ascii="Times New Roman" w:hAnsi="Times New Roman" w:eastAsia="仿宋" w:cs="Times New Roman"/>
                <w:b/>
                <w:lang w:val="zh-CN"/>
              </w:rPr>
              <w:t xml:space="preserve">序号 </w:t>
            </w:r>
          </w:p>
        </w:tc>
        <w:tc>
          <w:tcPr>
            <w:tcW w:w="1281" w:type="dxa"/>
            <w:tcBorders>
              <w:top w:val="single" w:color="auto" w:sz="18" w:space="0"/>
            </w:tcBorders>
            <w:vAlign w:val="center"/>
          </w:tcPr>
          <w:p>
            <w:pPr>
              <w:pStyle w:val="31"/>
              <w:spacing w:line="300" w:lineRule="auto"/>
              <w:jc w:val="center"/>
              <w:rPr>
                <w:rFonts w:ascii="Times New Roman" w:hAnsi="Times New Roman" w:eastAsia="仿宋" w:cs="Times New Roman"/>
                <w:b/>
                <w:lang w:val="zh-CN"/>
              </w:rPr>
            </w:pPr>
            <w:r>
              <w:rPr>
                <w:rFonts w:ascii="Times New Roman" w:hAnsi="Times New Roman" w:eastAsia="仿宋" w:cs="Times New Roman"/>
                <w:b/>
                <w:lang w:val="zh-CN"/>
              </w:rPr>
              <w:t>应知事项</w:t>
            </w:r>
          </w:p>
        </w:tc>
        <w:tc>
          <w:tcPr>
            <w:tcW w:w="7287" w:type="dxa"/>
            <w:tcBorders>
              <w:top w:val="single" w:color="auto" w:sz="18" w:space="0"/>
            </w:tcBorders>
            <w:vAlign w:val="center"/>
          </w:tcPr>
          <w:p>
            <w:pPr>
              <w:pStyle w:val="31"/>
              <w:spacing w:line="300" w:lineRule="auto"/>
              <w:jc w:val="center"/>
              <w:rPr>
                <w:rFonts w:ascii="Times New Roman" w:hAnsi="Times New Roman" w:eastAsia="仿宋" w:cs="Times New Roman"/>
                <w:b/>
                <w:lang w:val="zh-CN"/>
              </w:rPr>
            </w:pPr>
            <w:r>
              <w:rPr>
                <w:rFonts w:ascii="Times New Roman" w:hAnsi="Times New Roman" w:eastAsia="仿宋" w:cs="Times New Roman"/>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594" w:type="dxa"/>
            <w:vAlign w:val="center"/>
          </w:tcPr>
          <w:p>
            <w:pPr>
              <w:pStyle w:val="31"/>
              <w:spacing w:line="300" w:lineRule="auto"/>
              <w:jc w:val="center"/>
              <w:rPr>
                <w:rFonts w:ascii="Times New Roman" w:hAnsi="Times New Roman" w:eastAsia="仿宋" w:cs="Times New Roman"/>
                <w:lang w:val="zh-CN"/>
              </w:rPr>
            </w:pPr>
            <w:bookmarkStart w:id="2" w:name="_Hlk5695228"/>
            <w:r>
              <w:rPr>
                <w:rFonts w:ascii="Times New Roman" w:hAnsi="Times New Roman" w:eastAsia="仿宋" w:cs="Times New Roman"/>
                <w:lang w:val="zh-CN"/>
              </w:rPr>
              <w:t>1</w:t>
            </w:r>
          </w:p>
        </w:tc>
        <w:tc>
          <w:tcPr>
            <w:tcW w:w="1281" w:type="dxa"/>
            <w:vAlign w:val="center"/>
          </w:tcPr>
          <w:p>
            <w:pPr>
              <w:pStyle w:val="31"/>
              <w:spacing w:line="300" w:lineRule="auto"/>
              <w:jc w:val="center"/>
              <w:rPr>
                <w:rFonts w:ascii="Times New Roman" w:hAnsi="Times New Roman" w:eastAsia="仿宋" w:cs="Times New Roman"/>
                <w:lang w:val="zh-CN"/>
              </w:rPr>
            </w:pPr>
            <w:r>
              <w:rPr>
                <w:rFonts w:ascii="Times New Roman" w:hAnsi="Times New Roman" w:eastAsia="仿宋" w:cs="Times New Roman"/>
                <w:lang w:val="zh-CN"/>
              </w:rPr>
              <w:t>采购预算和最高限价</w:t>
            </w:r>
          </w:p>
        </w:tc>
        <w:tc>
          <w:tcPr>
            <w:tcW w:w="7287" w:type="dxa"/>
            <w:vAlign w:val="center"/>
          </w:tcPr>
          <w:p>
            <w:pPr>
              <w:pStyle w:val="31"/>
              <w:spacing w:line="300" w:lineRule="auto"/>
              <w:ind w:left="210" w:leftChars="100"/>
              <w:jc w:val="both"/>
              <w:rPr>
                <w:rFonts w:ascii="Times New Roman" w:hAnsi="Times New Roman" w:eastAsia="仿宋" w:cs="Times New Roman"/>
                <w:lang w:val="zh-CN"/>
              </w:rPr>
            </w:pPr>
            <w:r>
              <w:rPr>
                <w:rFonts w:ascii="Times New Roman" w:hAnsi="Times New Roman" w:eastAsia="仿宋" w:cs="Times New Roman"/>
                <w:lang w:val="zh-CN"/>
              </w:rPr>
              <w:t>见招标文件第一章</w:t>
            </w:r>
          </w:p>
        </w:tc>
      </w:tr>
      <w:bookmarkEnd w:id="2"/>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594" w:type="dxa"/>
            <w:tcBorders>
              <w:bottom w:val="single" w:color="auto" w:sz="4" w:space="0"/>
            </w:tcBorders>
            <w:vAlign w:val="center"/>
          </w:tcPr>
          <w:p>
            <w:pPr>
              <w:pStyle w:val="31"/>
              <w:spacing w:line="300" w:lineRule="auto"/>
              <w:jc w:val="center"/>
              <w:rPr>
                <w:rFonts w:ascii="Times New Roman" w:hAnsi="Times New Roman" w:eastAsia="仿宋" w:cs="Times New Roman"/>
                <w:lang w:val="zh-CN"/>
              </w:rPr>
            </w:pPr>
            <w:r>
              <w:rPr>
                <w:rFonts w:ascii="Times New Roman" w:hAnsi="Times New Roman" w:eastAsia="仿宋" w:cs="Times New Roman"/>
                <w:lang w:val="zh-CN"/>
              </w:rPr>
              <w:t>2</w:t>
            </w:r>
          </w:p>
        </w:tc>
        <w:tc>
          <w:tcPr>
            <w:tcW w:w="1281" w:type="dxa"/>
            <w:tcBorders>
              <w:bottom w:val="single" w:color="auto" w:sz="4" w:space="0"/>
            </w:tcBorders>
            <w:vAlign w:val="center"/>
          </w:tcPr>
          <w:p>
            <w:pPr>
              <w:pStyle w:val="31"/>
              <w:spacing w:line="300" w:lineRule="auto"/>
              <w:jc w:val="center"/>
              <w:rPr>
                <w:rFonts w:ascii="Times New Roman" w:hAnsi="Times New Roman" w:eastAsia="仿宋" w:cs="Times New Roman"/>
                <w:lang w:val="zh-CN"/>
              </w:rPr>
            </w:pPr>
            <w:r>
              <w:rPr>
                <w:rFonts w:ascii="Times New Roman" w:hAnsi="Times New Roman" w:eastAsia="仿宋" w:cs="Times New Roman"/>
                <w:lang w:val="zh-CN"/>
              </w:rPr>
              <w:t>低于成本价不正当竞争预防措施</w:t>
            </w:r>
          </w:p>
        </w:tc>
        <w:tc>
          <w:tcPr>
            <w:tcW w:w="7287" w:type="dxa"/>
            <w:tcBorders>
              <w:bottom w:val="single" w:color="auto" w:sz="4" w:space="0"/>
            </w:tcBorders>
            <w:vAlign w:val="center"/>
          </w:tcPr>
          <w:p>
            <w:pPr>
              <w:pStyle w:val="31"/>
              <w:spacing w:line="300" w:lineRule="auto"/>
              <w:ind w:left="210" w:leftChars="100"/>
              <w:jc w:val="both"/>
              <w:rPr>
                <w:rFonts w:ascii="Times New Roman" w:hAnsi="Times New Roman" w:eastAsia="仿宋" w:cs="Times New Roman"/>
                <w:lang w:val="zh-CN"/>
              </w:rPr>
            </w:pPr>
            <w:r>
              <w:rPr>
                <w:rFonts w:ascii="Times New Roman" w:hAnsi="Times New Roman" w:eastAsia="仿宋" w:cs="Times New Roman"/>
                <w:lang w:val="zh-CN"/>
              </w:rPr>
              <w:t>（1）供应商报价低于本项目最高限价的50%，或者低于其他有效供应商报价算术平均价的40%，有可能影响采购项目的实施质量或者不能诚信履约的，评标委员会应当向其发出澄清通知；</w:t>
            </w:r>
          </w:p>
          <w:p>
            <w:pPr>
              <w:pStyle w:val="31"/>
              <w:spacing w:line="300" w:lineRule="auto"/>
              <w:ind w:left="210" w:leftChars="100"/>
              <w:jc w:val="both"/>
              <w:rPr>
                <w:rFonts w:ascii="Times New Roman" w:hAnsi="Times New Roman" w:eastAsia="仿宋" w:cs="Times New Roman"/>
                <w:lang w:val="zh-CN"/>
              </w:rPr>
            </w:pPr>
            <w:r>
              <w:rPr>
                <w:rFonts w:ascii="Times New Roman" w:hAnsi="Times New Roman" w:eastAsia="仿宋" w:cs="Times New Roman"/>
                <w:lang w:val="zh-CN"/>
              </w:rPr>
              <w:t>（2）供应商应在澄清通知发出后的90分钟内提交成本构成书面说明，并附相关证明材料；供应商的书面说明应当按照国家财务会计制度的规定要求，逐项就供应商提供的货物、工程和服务的主营业务成本、税金及附加、销售费用、管理费用、财务费用等成本构成事项详细陈述；</w:t>
            </w:r>
          </w:p>
          <w:p>
            <w:pPr>
              <w:pStyle w:val="31"/>
              <w:spacing w:line="300" w:lineRule="auto"/>
              <w:ind w:left="210" w:leftChars="100"/>
              <w:jc w:val="both"/>
              <w:rPr>
                <w:rFonts w:ascii="Times New Roman" w:hAnsi="Times New Roman" w:eastAsia="仿宋" w:cs="Times New Roman"/>
                <w:lang w:val="zh-CN"/>
              </w:rPr>
            </w:pPr>
            <w:r>
              <w:rPr>
                <w:rFonts w:ascii="Times New Roman" w:hAnsi="Times New Roman" w:eastAsia="仿宋" w:cs="Times New Roman"/>
                <w:lang w:val="zh-CN"/>
              </w:rPr>
              <w:t>（3）评标委员会应当结合采购项目的需求、专业实际情况、供应商财务状况报告、与其他供应商的比较情况等就供应商的书面说明进行评价；</w:t>
            </w:r>
          </w:p>
          <w:p>
            <w:pPr>
              <w:pStyle w:val="31"/>
              <w:spacing w:line="300" w:lineRule="auto"/>
              <w:ind w:left="210" w:leftChars="100"/>
              <w:jc w:val="both"/>
              <w:rPr>
                <w:rFonts w:ascii="Times New Roman" w:hAnsi="Times New Roman" w:eastAsia="仿宋" w:cs="Times New Roman"/>
                <w:lang w:val="zh-CN"/>
              </w:rPr>
            </w:pPr>
            <w:r>
              <w:rPr>
                <w:rFonts w:ascii="Times New Roman" w:hAnsi="Times New Roman" w:eastAsia="仿宋" w:cs="Times New Roman"/>
                <w:lang w:val="zh-CN"/>
              </w:rPr>
              <w:t>（4）供应商拒绝或者变相拒绝提供有效书面说明或者书面说明不能证明其报价合理性的，评标委员会应将其响应作无效处理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594" w:type="dxa"/>
            <w:tcBorders>
              <w:top w:val="single" w:color="auto" w:sz="4" w:space="0"/>
            </w:tcBorders>
            <w:vAlign w:val="center"/>
          </w:tcPr>
          <w:p>
            <w:pPr>
              <w:pStyle w:val="31"/>
              <w:spacing w:line="300" w:lineRule="auto"/>
              <w:jc w:val="center"/>
              <w:rPr>
                <w:rFonts w:ascii="Times New Roman" w:hAnsi="Times New Roman" w:eastAsia="仿宋" w:cs="Times New Roman"/>
                <w:lang w:val="zh-CN"/>
              </w:rPr>
            </w:pPr>
            <w:r>
              <w:rPr>
                <w:rFonts w:ascii="Times New Roman" w:hAnsi="Times New Roman" w:eastAsia="仿宋" w:cs="Times New Roman"/>
                <w:lang w:val="zh-CN"/>
              </w:rPr>
              <w:t>3</w:t>
            </w:r>
          </w:p>
        </w:tc>
        <w:tc>
          <w:tcPr>
            <w:tcW w:w="1281" w:type="dxa"/>
            <w:tcBorders>
              <w:top w:val="single" w:color="auto" w:sz="4" w:space="0"/>
            </w:tcBorders>
            <w:vAlign w:val="center"/>
          </w:tcPr>
          <w:p>
            <w:pPr>
              <w:pStyle w:val="31"/>
              <w:spacing w:line="300" w:lineRule="auto"/>
              <w:jc w:val="center"/>
              <w:rPr>
                <w:rFonts w:ascii="Times New Roman" w:hAnsi="Times New Roman" w:eastAsia="仿宋" w:cs="Times New Roman"/>
                <w:lang w:val="zh-CN"/>
              </w:rPr>
            </w:pPr>
            <w:r>
              <w:rPr>
                <w:rFonts w:ascii="Times New Roman" w:hAnsi="Times New Roman" w:eastAsia="仿宋" w:cs="Times New Roman"/>
                <w:lang w:val="zh-CN"/>
              </w:rPr>
              <w:t>咨询和联系</w:t>
            </w:r>
          </w:p>
        </w:tc>
        <w:tc>
          <w:tcPr>
            <w:tcW w:w="7287" w:type="dxa"/>
            <w:tcBorders>
              <w:top w:val="single" w:color="auto" w:sz="4" w:space="0"/>
            </w:tcBorders>
            <w:vAlign w:val="center"/>
          </w:tcPr>
          <w:p>
            <w:pPr>
              <w:pStyle w:val="31"/>
              <w:spacing w:line="300" w:lineRule="auto"/>
              <w:ind w:left="210" w:leftChars="100"/>
              <w:jc w:val="both"/>
              <w:rPr>
                <w:rFonts w:ascii="Times New Roman" w:hAnsi="Times New Roman" w:eastAsia="仿宋" w:cs="Times New Roman"/>
                <w:lang w:val="zh-CN"/>
              </w:rPr>
            </w:pPr>
            <w:r>
              <w:rPr>
                <w:rFonts w:ascii="Times New Roman" w:hAnsi="Times New Roman" w:eastAsia="仿宋" w:cs="Times New Roman"/>
                <w:lang w:val="zh-CN"/>
              </w:rPr>
              <w:t>（1）有关招标文件获取、投标文件编制、项目质疑相关事宜的联系方式详见本招标文件第一章；</w:t>
            </w:r>
          </w:p>
          <w:p>
            <w:pPr>
              <w:pStyle w:val="31"/>
              <w:spacing w:line="300" w:lineRule="auto"/>
              <w:ind w:left="210" w:leftChars="100"/>
              <w:jc w:val="both"/>
              <w:rPr>
                <w:rFonts w:ascii="Times New Roman" w:hAnsi="Times New Roman" w:eastAsia="仿宋" w:cs="Times New Roman"/>
                <w:lang w:val="zh-CN"/>
              </w:rPr>
            </w:pPr>
            <w:r>
              <w:rPr>
                <w:rFonts w:ascii="Times New Roman" w:hAnsi="Times New Roman" w:eastAsia="仿宋" w:cs="Times New Roman"/>
                <w:lang w:val="zh-CN"/>
              </w:rPr>
              <w:t>（2）有关项目投诉事宜请联系</w:t>
            </w:r>
            <w:r>
              <w:rPr>
                <w:rFonts w:hint="eastAsia" w:ascii="Times New Roman" w:hAnsi="Times New Roman" w:eastAsia="仿宋" w:cs="Times New Roman"/>
                <w:sz w:val="24"/>
                <w:szCs w:val="24"/>
                <w:lang w:val="en-US" w:eastAsia="zh-CN"/>
              </w:rPr>
              <w:t>南江农科村镇银行</w:t>
            </w:r>
            <w:r>
              <w:rPr>
                <w:rFonts w:ascii="Times New Roman" w:hAnsi="Times New Roman" w:eastAsia="仿宋" w:cs="Times New Roman"/>
                <w:sz w:val="24"/>
                <w:szCs w:val="24"/>
                <w:lang w:val="zh-CN"/>
              </w:rPr>
              <w:t>（</w:t>
            </w:r>
            <w:r>
              <w:rPr>
                <w:rFonts w:hint="eastAsia" w:ascii="Times New Roman" w:hAnsi="Times New Roman" w:eastAsia="仿宋" w:cs="Times New Roman"/>
                <w:color w:val="FF0000"/>
                <w:sz w:val="24"/>
                <w:szCs w:val="24"/>
                <w:lang w:val="en-US" w:eastAsia="zh-CN"/>
              </w:rPr>
              <w:t>0827-8112886</w:t>
            </w:r>
            <w:r>
              <w:rPr>
                <w:rFonts w:ascii="Times New Roman" w:hAnsi="Times New Roman" w:eastAsia="仿宋" w:cs="Times New Roman"/>
                <w:sz w:val="24"/>
                <w:szCs w:val="24"/>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594" w:type="dxa"/>
            <w:tcBorders>
              <w:top w:val="single" w:color="auto" w:sz="4" w:space="0"/>
            </w:tcBorders>
            <w:vAlign w:val="center"/>
          </w:tcPr>
          <w:p>
            <w:pPr>
              <w:pStyle w:val="31"/>
              <w:spacing w:line="300" w:lineRule="auto"/>
              <w:jc w:val="center"/>
              <w:rPr>
                <w:rFonts w:ascii="Times New Roman" w:hAnsi="Times New Roman" w:eastAsia="仿宋" w:cs="Times New Roman"/>
                <w:lang w:val="zh-CN"/>
              </w:rPr>
            </w:pPr>
            <w:r>
              <w:rPr>
                <w:rFonts w:ascii="Times New Roman" w:hAnsi="Times New Roman" w:eastAsia="仿宋" w:cs="Times New Roman"/>
                <w:lang w:val="zh-CN"/>
              </w:rPr>
              <w:t>4</w:t>
            </w:r>
          </w:p>
        </w:tc>
        <w:tc>
          <w:tcPr>
            <w:tcW w:w="1281" w:type="dxa"/>
            <w:tcBorders>
              <w:top w:val="single" w:color="auto" w:sz="4" w:space="0"/>
            </w:tcBorders>
            <w:vAlign w:val="center"/>
          </w:tcPr>
          <w:p>
            <w:pPr>
              <w:pStyle w:val="31"/>
              <w:spacing w:line="300" w:lineRule="auto"/>
              <w:jc w:val="center"/>
              <w:rPr>
                <w:rFonts w:ascii="Times New Roman" w:hAnsi="Times New Roman" w:eastAsia="仿宋" w:cs="Times New Roman"/>
                <w:lang w:val="zh-CN"/>
              </w:rPr>
            </w:pPr>
            <w:r>
              <w:rPr>
                <w:rFonts w:ascii="Times New Roman" w:hAnsi="Times New Roman" w:eastAsia="仿宋" w:cs="Times New Roman"/>
                <w:lang w:val="zh-CN"/>
              </w:rPr>
              <w:t>评标方法</w:t>
            </w:r>
          </w:p>
        </w:tc>
        <w:tc>
          <w:tcPr>
            <w:tcW w:w="7287" w:type="dxa"/>
            <w:tcBorders>
              <w:top w:val="single" w:color="auto" w:sz="4" w:space="0"/>
            </w:tcBorders>
            <w:vAlign w:val="center"/>
          </w:tcPr>
          <w:p>
            <w:pPr>
              <w:pStyle w:val="31"/>
              <w:spacing w:line="300" w:lineRule="auto"/>
              <w:ind w:left="210" w:leftChars="100"/>
              <w:jc w:val="both"/>
              <w:rPr>
                <w:rFonts w:ascii="Times New Roman" w:hAnsi="Times New Roman" w:eastAsia="仿宋" w:cs="Times New Roman"/>
                <w:lang w:val="zh-CN"/>
              </w:rPr>
            </w:pPr>
            <w:r>
              <w:rPr>
                <w:rFonts w:ascii="Times New Roman" w:hAnsi="Times New Roman" w:eastAsia="仿宋" w:cs="Times New Roman"/>
                <w:lang w:val="zh-CN"/>
              </w:rPr>
              <w:t>综合评分法</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594" w:type="dxa"/>
            <w:tcBorders>
              <w:top w:val="single" w:color="auto" w:sz="4" w:space="0"/>
            </w:tcBorders>
            <w:vAlign w:val="center"/>
          </w:tcPr>
          <w:p>
            <w:pPr>
              <w:pStyle w:val="31"/>
              <w:spacing w:line="300" w:lineRule="auto"/>
              <w:jc w:val="center"/>
              <w:rPr>
                <w:rFonts w:ascii="Times New Roman" w:hAnsi="Times New Roman" w:eastAsia="仿宋" w:cs="Times New Roman"/>
                <w:lang w:val="zh-CN"/>
              </w:rPr>
            </w:pPr>
            <w:r>
              <w:rPr>
                <w:rFonts w:ascii="Times New Roman" w:hAnsi="Times New Roman" w:eastAsia="仿宋" w:cs="Times New Roman"/>
                <w:lang w:val="zh-CN"/>
              </w:rPr>
              <w:t>5</w:t>
            </w:r>
          </w:p>
        </w:tc>
        <w:tc>
          <w:tcPr>
            <w:tcW w:w="1281" w:type="dxa"/>
            <w:tcBorders>
              <w:top w:val="single" w:color="auto" w:sz="4" w:space="0"/>
            </w:tcBorders>
            <w:vAlign w:val="center"/>
          </w:tcPr>
          <w:p>
            <w:pPr>
              <w:pStyle w:val="31"/>
              <w:spacing w:line="300" w:lineRule="auto"/>
              <w:jc w:val="center"/>
              <w:rPr>
                <w:rFonts w:ascii="Times New Roman" w:hAnsi="Times New Roman" w:eastAsia="仿宋" w:cs="Times New Roman"/>
                <w:lang w:val="zh-CN"/>
              </w:rPr>
            </w:pPr>
            <w:r>
              <w:rPr>
                <w:rFonts w:ascii="Times New Roman" w:hAnsi="Times New Roman" w:eastAsia="仿宋" w:cs="Times New Roman"/>
                <w:lang w:val="zh-CN"/>
              </w:rPr>
              <w:t>联合体投标</w:t>
            </w:r>
          </w:p>
        </w:tc>
        <w:tc>
          <w:tcPr>
            <w:tcW w:w="7287" w:type="dxa"/>
            <w:tcBorders>
              <w:top w:val="single" w:color="auto" w:sz="4" w:space="0"/>
            </w:tcBorders>
            <w:vAlign w:val="center"/>
          </w:tcPr>
          <w:p>
            <w:pPr>
              <w:pStyle w:val="31"/>
              <w:spacing w:line="300" w:lineRule="auto"/>
              <w:ind w:left="210" w:leftChars="100"/>
              <w:jc w:val="both"/>
              <w:rPr>
                <w:rFonts w:ascii="Times New Roman" w:hAnsi="Times New Roman" w:eastAsia="仿宋" w:cs="Times New Roman"/>
                <w:lang w:val="zh-CN"/>
              </w:rPr>
            </w:pPr>
            <w:r>
              <w:rPr>
                <w:rFonts w:ascii="Times New Roman" w:hAnsi="Times New Roman" w:eastAsia="仿宋" w:cs="Times New Roman"/>
                <w:lang w:val="zh-CN"/>
              </w:rPr>
              <w:t>不接受</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594" w:type="dxa"/>
            <w:tcBorders>
              <w:top w:val="single" w:color="auto" w:sz="4" w:space="0"/>
            </w:tcBorders>
            <w:vAlign w:val="center"/>
          </w:tcPr>
          <w:p>
            <w:pPr>
              <w:pStyle w:val="31"/>
              <w:spacing w:line="300" w:lineRule="auto"/>
              <w:jc w:val="center"/>
              <w:rPr>
                <w:rFonts w:ascii="Times New Roman" w:hAnsi="Times New Roman" w:eastAsia="仿宋" w:cs="Times New Roman"/>
                <w:lang w:val="zh-CN"/>
              </w:rPr>
            </w:pPr>
            <w:r>
              <w:rPr>
                <w:rFonts w:ascii="Times New Roman" w:hAnsi="Times New Roman" w:eastAsia="仿宋" w:cs="Times New Roman"/>
                <w:lang w:val="zh-CN"/>
              </w:rPr>
              <w:t>6</w:t>
            </w:r>
          </w:p>
        </w:tc>
        <w:tc>
          <w:tcPr>
            <w:tcW w:w="1281" w:type="dxa"/>
            <w:tcBorders>
              <w:top w:val="single" w:color="auto" w:sz="4" w:space="0"/>
            </w:tcBorders>
            <w:vAlign w:val="center"/>
          </w:tcPr>
          <w:p>
            <w:pPr>
              <w:pStyle w:val="31"/>
              <w:spacing w:line="300" w:lineRule="auto"/>
              <w:jc w:val="center"/>
              <w:rPr>
                <w:rFonts w:ascii="Times New Roman" w:hAnsi="Times New Roman" w:eastAsia="仿宋" w:cs="Times New Roman"/>
                <w:lang w:val="zh-CN"/>
              </w:rPr>
            </w:pPr>
            <w:r>
              <w:rPr>
                <w:rFonts w:ascii="Times New Roman" w:hAnsi="Times New Roman" w:eastAsia="仿宋" w:cs="Times New Roman"/>
                <w:lang w:val="zh-CN"/>
              </w:rPr>
              <w:t>现场踏勘和答疑</w:t>
            </w:r>
          </w:p>
        </w:tc>
        <w:tc>
          <w:tcPr>
            <w:tcW w:w="7287" w:type="dxa"/>
            <w:tcBorders>
              <w:top w:val="single" w:color="auto" w:sz="4" w:space="0"/>
            </w:tcBorders>
            <w:vAlign w:val="center"/>
          </w:tcPr>
          <w:p>
            <w:pPr>
              <w:pStyle w:val="31"/>
              <w:spacing w:line="300" w:lineRule="auto"/>
              <w:ind w:left="210" w:leftChars="100"/>
              <w:jc w:val="both"/>
              <w:rPr>
                <w:rFonts w:ascii="Times New Roman" w:hAnsi="Times New Roman" w:eastAsia="仿宋" w:cs="Times New Roman"/>
                <w:lang w:val="zh-CN"/>
              </w:rPr>
            </w:pPr>
            <w:r>
              <w:rPr>
                <w:rFonts w:ascii="Times New Roman" w:hAnsi="Times New Roman" w:eastAsia="仿宋" w:cs="Times New Roman"/>
                <w:lang w:val="zh-CN"/>
              </w:rPr>
              <w:t>不举行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594" w:type="dxa"/>
            <w:tcBorders>
              <w:top w:val="single" w:color="auto" w:sz="4" w:space="0"/>
            </w:tcBorders>
            <w:vAlign w:val="center"/>
          </w:tcPr>
          <w:p>
            <w:pPr>
              <w:pStyle w:val="31"/>
              <w:spacing w:line="300" w:lineRule="auto"/>
              <w:jc w:val="center"/>
              <w:rPr>
                <w:rFonts w:ascii="Times New Roman" w:hAnsi="Times New Roman" w:eastAsia="仿宋" w:cs="Times New Roman"/>
                <w:lang w:val="zh-CN"/>
              </w:rPr>
            </w:pPr>
            <w:r>
              <w:rPr>
                <w:rFonts w:ascii="Times New Roman" w:hAnsi="Times New Roman" w:eastAsia="仿宋" w:cs="Times New Roman"/>
                <w:lang w:val="zh-CN"/>
              </w:rPr>
              <w:t>7</w:t>
            </w:r>
          </w:p>
        </w:tc>
        <w:tc>
          <w:tcPr>
            <w:tcW w:w="1281" w:type="dxa"/>
            <w:tcBorders>
              <w:top w:val="single" w:color="auto" w:sz="4" w:space="0"/>
            </w:tcBorders>
            <w:vAlign w:val="center"/>
          </w:tcPr>
          <w:p>
            <w:pPr>
              <w:pStyle w:val="31"/>
              <w:spacing w:line="300" w:lineRule="auto"/>
              <w:jc w:val="center"/>
              <w:rPr>
                <w:rFonts w:ascii="Times New Roman" w:hAnsi="Times New Roman" w:eastAsia="仿宋" w:cs="Times New Roman"/>
                <w:lang w:val="zh-CN"/>
              </w:rPr>
            </w:pPr>
            <w:r>
              <w:rPr>
                <w:rFonts w:ascii="Times New Roman" w:hAnsi="Times New Roman" w:eastAsia="仿宋" w:cs="Times New Roman"/>
                <w:lang w:val="zh-CN"/>
              </w:rPr>
              <w:t>邮寄投标文件</w:t>
            </w:r>
          </w:p>
        </w:tc>
        <w:tc>
          <w:tcPr>
            <w:tcW w:w="7287" w:type="dxa"/>
            <w:tcBorders>
              <w:top w:val="single" w:color="auto" w:sz="4" w:space="0"/>
            </w:tcBorders>
            <w:vAlign w:val="center"/>
          </w:tcPr>
          <w:p>
            <w:pPr>
              <w:pStyle w:val="31"/>
              <w:spacing w:line="300" w:lineRule="auto"/>
              <w:ind w:left="210" w:leftChars="100"/>
              <w:jc w:val="both"/>
              <w:rPr>
                <w:rFonts w:ascii="Times New Roman" w:hAnsi="Times New Roman" w:eastAsia="仿宋" w:cs="Times New Roman"/>
                <w:lang w:val="zh-CN"/>
              </w:rPr>
            </w:pPr>
            <w:r>
              <w:rPr>
                <w:rFonts w:ascii="Times New Roman" w:hAnsi="Times New Roman" w:eastAsia="仿宋" w:cs="Times New Roman"/>
                <w:lang w:val="zh-CN"/>
              </w:rPr>
              <w:t>不接受</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594" w:type="dxa"/>
            <w:tcBorders>
              <w:top w:val="single" w:color="auto" w:sz="4" w:space="0"/>
            </w:tcBorders>
            <w:vAlign w:val="center"/>
          </w:tcPr>
          <w:p>
            <w:pPr>
              <w:pStyle w:val="31"/>
              <w:spacing w:line="300" w:lineRule="auto"/>
              <w:jc w:val="center"/>
              <w:rPr>
                <w:rFonts w:ascii="Times New Roman" w:hAnsi="Times New Roman" w:eastAsia="仿宋" w:cs="Times New Roman"/>
                <w:lang w:val="zh-CN"/>
              </w:rPr>
            </w:pPr>
            <w:r>
              <w:rPr>
                <w:rFonts w:ascii="Times New Roman" w:hAnsi="Times New Roman" w:eastAsia="仿宋" w:cs="Times New Roman"/>
                <w:lang w:val="zh-CN"/>
              </w:rPr>
              <w:t>8</w:t>
            </w:r>
          </w:p>
        </w:tc>
        <w:tc>
          <w:tcPr>
            <w:tcW w:w="1281" w:type="dxa"/>
            <w:tcBorders>
              <w:top w:val="single" w:color="auto" w:sz="4" w:space="0"/>
            </w:tcBorders>
            <w:vAlign w:val="center"/>
          </w:tcPr>
          <w:p>
            <w:pPr>
              <w:pStyle w:val="31"/>
              <w:spacing w:line="300" w:lineRule="auto"/>
              <w:jc w:val="center"/>
              <w:rPr>
                <w:rFonts w:ascii="Times New Roman" w:hAnsi="Times New Roman" w:eastAsia="仿宋" w:cs="Times New Roman"/>
                <w:lang w:val="zh-CN"/>
              </w:rPr>
            </w:pPr>
            <w:r>
              <w:rPr>
                <w:rFonts w:ascii="Times New Roman" w:hAnsi="Times New Roman" w:eastAsia="仿宋" w:cs="Times New Roman"/>
                <w:lang w:val="zh-CN"/>
              </w:rPr>
              <w:t>书面投标文件的份数</w:t>
            </w:r>
          </w:p>
        </w:tc>
        <w:tc>
          <w:tcPr>
            <w:tcW w:w="7287" w:type="dxa"/>
            <w:tcBorders>
              <w:top w:val="single" w:color="auto" w:sz="4" w:space="0"/>
            </w:tcBorders>
            <w:vAlign w:val="center"/>
          </w:tcPr>
          <w:p>
            <w:pPr>
              <w:pStyle w:val="31"/>
              <w:spacing w:line="300" w:lineRule="auto"/>
              <w:ind w:left="210" w:leftChars="100"/>
              <w:jc w:val="both"/>
              <w:rPr>
                <w:rFonts w:ascii="Times New Roman" w:hAnsi="Times New Roman" w:eastAsia="仿宋" w:cs="Times New Roman"/>
                <w:lang w:val="zh-CN"/>
              </w:rPr>
            </w:pPr>
            <w:r>
              <w:rPr>
                <w:rFonts w:ascii="Times New Roman" w:hAnsi="Times New Roman" w:eastAsia="仿宋" w:cs="Times New Roman"/>
                <w:lang w:val="zh-CN"/>
              </w:rPr>
              <w:t>正本1份、副本</w:t>
            </w:r>
            <w:r>
              <w:rPr>
                <w:rFonts w:hint="eastAsia" w:ascii="Times New Roman" w:hAnsi="Times New Roman" w:eastAsia="仿宋" w:cs="Times New Roman"/>
                <w:lang w:val="en-US" w:eastAsia="zh-CN"/>
              </w:rPr>
              <w:t>2</w:t>
            </w:r>
            <w:r>
              <w:rPr>
                <w:rFonts w:ascii="Times New Roman" w:hAnsi="Times New Roman" w:eastAsia="仿宋" w:cs="Times New Roman"/>
                <w:lang w:val="zh-CN"/>
              </w:rPr>
              <w:t>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594" w:type="dxa"/>
            <w:tcBorders>
              <w:top w:val="single" w:color="auto" w:sz="4" w:space="0"/>
            </w:tcBorders>
            <w:vAlign w:val="center"/>
          </w:tcPr>
          <w:p>
            <w:pPr>
              <w:pStyle w:val="31"/>
              <w:spacing w:line="300" w:lineRule="auto"/>
              <w:jc w:val="center"/>
              <w:rPr>
                <w:rFonts w:ascii="Times New Roman" w:hAnsi="Times New Roman" w:eastAsia="仿宋" w:cs="Times New Roman"/>
                <w:lang w:val="zh-CN"/>
              </w:rPr>
            </w:pPr>
            <w:r>
              <w:rPr>
                <w:rFonts w:ascii="Times New Roman" w:hAnsi="Times New Roman" w:eastAsia="仿宋" w:cs="Times New Roman"/>
                <w:lang w:val="zh-CN"/>
              </w:rPr>
              <w:t>9</w:t>
            </w:r>
          </w:p>
        </w:tc>
        <w:tc>
          <w:tcPr>
            <w:tcW w:w="1281" w:type="dxa"/>
            <w:tcBorders>
              <w:top w:val="single" w:color="auto" w:sz="4" w:space="0"/>
            </w:tcBorders>
            <w:vAlign w:val="center"/>
          </w:tcPr>
          <w:p>
            <w:pPr>
              <w:pStyle w:val="31"/>
              <w:spacing w:line="300" w:lineRule="auto"/>
              <w:jc w:val="center"/>
              <w:rPr>
                <w:rFonts w:ascii="Times New Roman" w:hAnsi="Times New Roman" w:eastAsia="仿宋" w:cs="Times New Roman"/>
                <w:lang w:val="zh-CN"/>
              </w:rPr>
            </w:pPr>
            <w:r>
              <w:rPr>
                <w:rFonts w:ascii="Times New Roman" w:hAnsi="Times New Roman" w:eastAsia="仿宋" w:cs="Times New Roman"/>
                <w:lang w:val="zh-CN"/>
              </w:rPr>
              <w:t>投标有效期</w:t>
            </w:r>
          </w:p>
        </w:tc>
        <w:tc>
          <w:tcPr>
            <w:tcW w:w="7287" w:type="dxa"/>
            <w:tcBorders>
              <w:top w:val="single" w:color="auto" w:sz="4" w:space="0"/>
            </w:tcBorders>
            <w:vAlign w:val="center"/>
          </w:tcPr>
          <w:p>
            <w:pPr>
              <w:pStyle w:val="31"/>
              <w:spacing w:line="300" w:lineRule="auto"/>
              <w:ind w:left="210" w:leftChars="100"/>
              <w:jc w:val="both"/>
              <w:rPr>
                <w:rFonts w:ascii="Times New Roman" w:hAnsi="Times New Roman" w:eastAsia="仿宋" w:cs="Times New Roman"/>
                <w:lang w:val="zh-CN"/>
              </w:rPr>
            </w:pPr>
            <w:r>
              <w:rPr>
                <w:rFonts w:ascii="Times New Roman" w:hAnsi="Times New Roman" w:eastAsia="仿宋" w:cs="Times New Roman"/>
                <w:lang w:val="zh-CN"/>
              </w:rPr>
              <w:t>90日，自投标截止时间起算</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594" w:type="dxa"/>
            <w:tcBorders>
              <w:top w:val="single" w:color="auto" w:sz="8" w:space="0"/>
              <w:left w:val="single" w:color="auto" w:sz="18" w:space="0"/>
              <w:bottom w:val="single" w:color="auto" w:sz="8" w:space="0"/>
              <w:right w:val="single" w:color="auto" w:sz="8" w:space="0"/>
            </w:tcBorders>
            <w:vAlign w:val="center"/>
          </w:tcPr>
          <w:p>
            <w:pPr>
              <w:pStyle w:val="31"/>
              <w:spacing w:line="300" w:lineRule="auto"/>
              <w:jc w:val="center"/>
              <w:rPr>
                <w:rFonts w:ascii="Times New Roman" w:hAnsi="Times New Roman" w:eastAsia="仿宋" w:cs="Times New Roman"/>
                <w:lang w:val="zh-CN"/>
              </w:rPr>
            </w:pPr>
            <w:r>
              <w:rPr>
                <w:rFonts w:ascii="Times New Roman" w:hAnsi="Times New Roman" w:eastAsia="仿宋" w:cs="Times New Roman"/>
                <w:lang w:val="zh-CN"/>
              </w:rPr>
              <w:t>10</w:t>
            </w:r>
          </w:p>
        </w:tc>
        <w:tc>
          <w:tcPr>
            <w:tcW w:w="1281" w:type="dxa"/>
            <w:tcBorders>
              <w:top w:val="single" w:color="auto" w:sz="8" w:space="0"/>
              <w:left w:val="single" w:color="auto" w:sz="8" w:space="0"/>
              <w:bottom w:val="single" w:color="auto" w:sz="8" w:space="0"/>
              <w:right w:val="single" w:color="auto" w:sz="8" w:space="0"/>
            </w:tcBorders>
            <w:vAlign w:val="center"/>
          </w:tcPr>
          <w:p>
            <w:pPr>
              <w:pStyle w:val="31"/>
              <w:spacing w:line="300" w:lineRule="auto"/>
              <w:jc w:val="center"/>
              <w:rPr>
                <w:rFonts w:ascii="Times New Roman" w:hAnsi="Times New Roman" w:eastAsia="仿宋" w:cs="Times New Roman"/>
                <w:lang w:val="zh-CN"/>
              </w:rPr>
            </w:pPr>
            <w:r>
              <w:rPr>
                <w:rFonts w:ascii="Times New Roman" w:hAnsi="Times New Roman" w:eastAsia="仿宋" w:cs="Times New Roman"/>
                <w:lang w:val="zh-CN"/>
              </w:rPr>
              <w:t>提交投标担保</w:t>
            </w:r>
          </w:p>
        </w:tc>
        <w:tc>
          <w:tcPr>
            <w:tcW w:w="7287" w:type="dxa"/>
            <w:tcBorders>
              <w:top w:val="single" w:color="auto" w:sz="8" w:space="0"/>
              <w:left w:val="single" w:color="auto" w:sz="8" w:space="0"/>
              <w:bottom w:val="single" w:color="auto" w:sz="8" w:space="0"/>
              <w:right w:val="single" w:color="auto" w:sz="18" w:space="0"/>
            </w:tcBorders>
            <w:vAlign w:val="center"/>
          </w:tcPr>
          <w:p>
            <w:pPr>
              <w:pStyle w:val="31"/>
              <w:spacing w:line="300" w:lineRule="auto"/>
              <w:ind w:left="210" w:leftChars="100"/>
              <w:jc w:val="both"/>
              <w:rPr>
                <w:rFonts w:ascii="Times New Roman" w:hAnsi="Times New Roman" w:eastAsia="仿宋" w:cs="Times New Roman"/>
                <w:lang w:val="zh-CN"/>
              </w:rPr>
            </w:pPr>
            <w:r>
              <w:rPr>
                <w:rFonts w:ascii="Times New Roman" w:hAnsi="Times New Roman" w:eastAsia="仿宋" w:cs="Times New Roman"/>
                <w:lang w:val="zh-CN"/>
              </w:rPr>
              <w:t>本项目不设投标担保；供应商无需为参加本项目采购活动提供投标保证金或投标保函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594" w:type="dxa"/>
            <w:tcBorders>
              <w:top w:val="single" w:color="auto" w:sz="4" w:space="0"/>
              <w:left w:val="single" w:color="auto" w:sz="18" w:space="0"/>
              <w:bottom w:val="single" w:color="auto" w:sz="4" w:space="0"/>
              <w:right w:val="single" w:color="auto" w:sz="8" w:space="0"/>
            </w:tcBorders>
            <w:vAlign w:val="center"/>
          </w:tcPr>
          <w:p>
            <w:pPr>
              <w:pStyle w:val="31"/>
              <w:spacing w:line="300" w:lineRule="auto"/>
              <w:jc w:val="center"/>
              <w:rPr>
                <w:rFonts w:ascii="Times New Roman" w:hAnsi="Times New Roman" w:eastAsia="仿宋" w:cs="Times New Roman"/>
                <w:lang w:val="zh-CN"/>
              </w:rPr>
            </w:pPr>
            <w:r>
              <w:rPr>
                <w:rFonts w:ascii="Times New Roman" w:hAnsi="Times New Roman" w:eastAsia="仿宋" w:cs="Times New Roman"/>
                <w:lang w:val="zh-CN"/>
              </w:rPr>
              <w:t>11</w:t>
            </w:r>
          </w:p>
        </w:tc>
        <w:tc>
          <w:tcPr>
            <w:tcW w:w="1281" w:type="dxa"/>
            <w:tcBorders>
              <w:top w:val="single" w:color="auto" w:sz="8" w:space="0"/>
              <w:left w:val="single" w:color="auto" w:sz="8" w:space="0"/>
              <w:bottom w:val="single" w:color="auto" w:sz="8" w:space="0"/>
              <w:right w:val="single" w:color="auto" w:sz="8" w:space="0"/>
            </w:tcBorders>
            <w:vAlign w:val="center"/>
          </w:tcPr>
          <w:p>
            <w:pPr>
              <w:pStyle w:val="31"/>
              <w:spacing w:line="300" w:lineRule="auto"/>
              <w:jc w:val="center"/>
              <w:rPr>
                <w:rFonts w:ascii="Times New Roman" w:hAnsi="Times New Roman" w:eastAsia="仿宋" w:cs="Times New Roman"/>
                <w:lang w:val="zh-CN"/>
              </w:rPr>
            </w:pPr>
            <w:r>
              <w:rPr>
                <w:rFonts w:ascii="Times New Roman" w:hAnsi="Times New Roman" w:eastAsia="仿宋" w:cs="Times New Roman"/>
                <w:lang w:val="zh-CN"/>
              </w:rPr>
              <w:t>本项目拟推荐中标候选人的最小数量</w:t>
            </w:r>
          </w:p>
        </w:tc>
        <w:tc>
          <w:tcPr>
            <w:tcW w:w="7287" w:type="dxa"/>
            <w:tcBorders>
              <w:top w:val="single" w:color="auto" w:sz="8" w:space="0"/>
              <w:left w:val="single" w:color="auto" w:sz="8" w:space="0"/>
              <w:bottom w:val="single" w:color="auto" w:sz="8" w:space="0"/>
              <w:right w:val="single" w:color="auto" w:sz="18" w:space="0"/>
            </w:tcBorders>
            <w:vAlign w:val="center"/>
          </w:tcPr>
          <w:p>
            <w:pPr>
              <w:pStyle w:val="31"/>
              <w:spacing w:line="300" w:lineRule="auto"/>
              <w:ind w:left="210" w:leftChars="100"/>
              <w:jc w:val="both"/>
              <w:rPr>
                <w:rFonts w:ascii="Times New Roman" w:hAnsi="Times New Roman" w:eastAsia="仿宋" w:cs="Times New Roman"/>
                <w:lang w:val="zh-CN"/>
              </w:rPr>
            </w:pPr>
            <w:r>
              <w:rPr>
                <w:rFonts w:ascii="Times New Roman" w:hAnsi="Times New Roman" w:eastAsia="仿宋" w:cs="Times New Roman"/>
                <w:lang w:val="zh-CN"/>
              </w:rPr>
              <w:t>3名</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594" w:type="dxa"/>
            <w:tcBorders>
              <w:top w:val="single" w:color="auto" w:sz="4" w:space="0"/>
              <w:left w:val="single" w:color="auto" w:sz="18" w:space="0"/>
              <w:bottom w:val="single" w:color="auto" w:sz="4" w:space="0"/>
              <w:right w:val="single" w:color="auto" w:sz="8" w:space="0"/>
            </w:tcBorders>
            <w:vAlign w:val="center"/>
          </w:tcPr>
          <w:p>
            <w:pPr>
              <w:pStyle w:val="31"/>
              <w:spacing w:line="300" w:lineRule="auto"/>
              <w:jc w:val="center"/>
              <w:rPr>
                <w:rFonts w:ascii="Times New Roman" w:hAnsi="Times New Roman" w:eastAsia="仿宋" w:cs="Times New Roman"/>
                <w:lang w:val="zh-CN"/>
              </w:rPr>
            </w:pPr>
            <w:r>
              <w:rPr>
                <w:rFonts w:ascii="Times New Roman" w:hAnsi="Times New Roman" w:eastAsia="仿宋" w:cs="Times New Roman"/>
                <w:lang w:val="zh-CN"/>
              </w:rPr>
              <w:t>12</w:t>
            </w:r>
          </w:p>
        </w:tc>
        <w:tc>
          <w:tcPr>
            <w:tcW w:w="1281" w:type="dxa"/>
            <w:tcBorders>
              <w:top w:val="single" w:color="auto" w:sz="8" w:space="0"/>
              <w:left w:val="single" w:color="auto" w:sz="8" w:space="0"/>
              <w:bottom w:val="single" w:color="auto" w:sz="8" w:space="0"/>
              <w:right w:val="single" w:color="auto" w:sz="8" w:space="0"/>
            </w:tcBorders>
            <w:vAlign w:val="center"/>
          </w:tcPr>
          <w:p>
            <w:pPr>
              <w:pStyle w:val="31"/>
              <w:spacing w:line="300" w:lineRule="auto"/>
              <w:jc w:val="center"/>
              <w:rPr>
                <w:rFonts w:ascii="Times New Roman" w:hAnsi="Times New Roman" w:eastAsia="仿宋" w:cs="Times New Roman"/>
                <w:lang w:val="zh-CN"/>
              </w:rPr>
            </w:pPr>
            <w:r>
              <w:rPr>
                <w:rFonts w:ascii="Times New Roman" w:hAnsi="Times New Roman" w:eastAsia="仿宋" w:cs="Times New Roman"/>
                <w:lang w:val="zh-CN"/>
              </w:rPr>
              <w:t>本项目拟确定的中标人数量</w:t>
            </w:r>
          </w:p>
        </w:tc>
        <w:tc>
          <w:tcPr>
            <w:tcW w:w="7287" w:type="dxa"/>
            <w:tcBorders>
              <w:top w:val="single" w:color="auto" w:sz="8" w:space="0"/>
              <w:left w:val="single" w:color="auto" w:sz="8" w:space="0"/>
              <w:bottom w:val="single" w:color="auto" w:sz="8" w:space="0"/>
              <w:right w:val="single" w:color="auto" w:sz="18" w:space="0"/>
            </w:tcBorders>
            <w:vAlign w:val="center"/>
          </w:tcPr>
          <w:p>
            <w:pPr>
              <w:pStyle w:val="31"/>
              <w:spacing w:line="300" w:lineRule="auto"/>
              <w:ind w:left="210" w:leftChars="100"/>
              <w:jc w:val="both"/>
              <w:rPr>
                <w:rFonts w:ascii="Times New Roman" w:hAnsi="Times New Roman" w:eastAsia="仿宋" w:cs="Times New Roman"/>
                <w:lang w:val="zh-CN"/>
              </w:rPr>
            </w:pPr>
            <w:r>
              <w:rPr>
                <w:rFonts w:ascii="Times New Roman" w:hAnsi="Times New Roman" w:eastAsia="仿宋" w:cs="Times New Roman"/>
                <w:lang w:val="zh-CN"/>
              </w:rPr>
              <w:t>1名</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594" w:type="dxa"/>
            <w:tcBorders>
              <w:top w:val="single" w:color="auto" w:sz="4" w:space="0"/>
              <w:left w:val="single" w:color="auto" w:sz="18" w:space="0"/>
              <w:bottom w:val="single" w:color="auto" w:sz="4" w:space="0"/>
              <w:right w:val="single" w:color="auto" w:sz="8" w:space="0"/>
            </w:tcBorders>
            <w:vAlign w:val="center"/>
          </w:tcPr>
          <w:p>
            <w:pPr>
              <w:pStyle w:val="31"/>
              <w:spacing w:line="300" w:lineRule="auto"/>
              <w:jc w:val="center"/>
              <w:rPr>
                <w:rFonts w:ascii="Times New Roman" w:hAnsi="Times New Roman" w:eastAsia="仿宋" w:cs="Times New Roman"/>
                <w:lang w:val="zh-CN"/>
              </w:rPr>
            </w:pPr>
            <w:r>
              <w:rPr>
                <w:rFonts w:ascii="Times New Roman" w:hAnsi="Times New Roman" w:eastAsia="仿宋" w:cs="Times New Roman"/>
                <w:lang w:val="zh-CN"/>
              </w:rPr>
              <w:t>13</w:t>
            </w:r>
          </w:p>
        </w:tc>
        <w:tc>
          <w:tcPr>
            <w:tcW w:w="1281" w:type="dxa"/>
            <w:tcBorders>
              <w:top w:val="single" w:color="auto" w:sz="8" w:space="0"/>
              <w:left w:val="single" w:color="auto" w:sz="8" w:space="0"/>
              <w:bottom w:val="single" w:color="auto" w:sz="8" w:space="0"/>
              <w:right w:val="single" w:color="auto" w:sz="8" w:space="0"/>
            </w:tcBorders>
            <w:vAlign w:val="center"/>
          </w:tcPr>
          <w:p>
            <w:pPr>
              <w:pStyle w:val="31"/>
              <w:spacing w:line="300" w:lineRule="auto"/>
              <w:jc w:val="center"/>
              <w:rPr>
                <w:rFonts w:ascii="Times New Roman" w:hAnsi="Times New Roman" w:eastAsia="仿宋" w:cs="Times New Roman"/>
                <w:lang w:val="zh-CN"/>
              </w:rPr>
            </w:pPr>
            <w:r>
              <w:rPr>
                <w:rFonts w:ascii="Times New Roman" w:hAnsi="Times New Roman" w:eastAsia="仿宋" w:cs="Times New Roman"/>
                <w:lang w:val="zh-CN"/>
              </w:rPr>
              <w:t>提交履约担保</w:t>
            </w:r>
          </w:p>
        </w:tc>
        <w:tc>
          <w:tcPr>
            <w:tcW w:w="7287" w:type="dxa"/>
            <w:tcBorders>
              <w:top w:val="single" w:color="auto" w:sz="8" w:space="0"/>
              <w:left w:val="single" w:color="auto" w:sz="8" w:space="0"/>
              <w:bottom w:val="single" w:color="auto" w:sz="8" w:space="0"/>
              <w:right w:val="single" w:color="auto" w:sz="18" w:space="0"/>
            </w:tcBorders>
            <w:vAlign w:val="center"/>
          </w:tcPr>
          <w:p>
            <w:pPr>
              <w:pStyle w:val="31"/>
              <w:spacing w:line="300" w:lineRule="auto"/>
              <w:ind w:left="210" w:leftChars="100"/>
              <w:rPr>
                <w:rFonts w:ascii="Times New Roman" w:hAnsi="Times New Roman" w:eastAsia="仿宋" w:cs="Times New Roman"/>
                <w:lang w:val="zh-CN"/>
              </w:rPr>
            </w:pPr>
            <w:r>
              <w:rPr>
                <w:rFonts w:ascii="Times New Roman" w:hAnsi="Times New Roman" w:eastAsia="仿宋" w:cs="Times New Roman"/>
                <w:lang w:val="zh-CN"/>
              </w:rPr>
              <w:t>本项目不设履约担保；中标人无需为履行本项目采购合同提供履约保证金或履约保函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594" w:type="dxa"/>
            <w:tcBorders>
              <w:top w:val="single" w:color="auto" w:sz="4" w:space="0"/>
              <w:left w:val="single" w:color="auto" w:sz="18" w:space="0"/>
              <w:bottom w:val="single" w:color="auto" w:sz="4" w:space="0"/>
              <w:right w:val="single" w:color="auto" w:sz="8" w:space="0"/>
            </w:tcBorders>
            <w:vAlign w:val="center"/>
          </w:tcPr>
          <w:p>
            <w:pPr>
              <w:pStyle w:val="31"/>
              <w:spacing w:line="300" w:lineRule="auto"/>
              <w:jc w:val="center"/>
              <w:rPr>
                <w:rFonts w:ascii="Times New Roman" w:hAnsi="Times New Roman" w:eastAsia="仿宋" w:cs="Times New Roman"/>
                <w:lang w:val="zh-CN"/>
              </w:rPr>
            </w:pPr>
            <w:r>
              <w:rPr>
                <w:rFonts w:ascii="Times New Roman" w:hAnsi="Times New Roman" w:eastAsia="仿宋" w:cs="Times New Roman"/>
                <w:lang w:val="zh-CN"/>
              </w:rPr>
              <w:t>14</w:t>
            </w:r>
          </w:p>
        </w:tc>
        <w:tc>
          <w:tcPr>
            <w:tcW w:w="1281" w:type="dxa"/>
            <w:tcBorders>
              <w:top w:val="single" w:color="auto" w:sz="8" w:space="0"/>
              <w:left w:val="single" w:color="auto" w:sz="8" w:space="0"/>
              <w:bottom w:val="single" w:color="auto" w:sz="8" w:space="0"/>
              <w:right w:val="single" w:color="auto" w:sz="8" w:space="0"/>
            </w:tcBorders>
            <w:vAlign w:val="center"/>
          </w:tcPr>
          <w:p>
            <w:pPr>
              <w:pStyle w:val="31"/>
              <w:spacing w:line="300" w:lineRule="auto"/>
              <w:jc w:val="center"/>
              <w:rPr>
                <w:rFonts w:ascii="Times New Roman" w:hAnsi="Times New Roman" w:eastAsia="仿宋" w:cs="Times New Roman"/>
                <w:lang w:val="zh-CN"/>
              </w:rPr>
            </w:pPr>
            <w:r>
              <w:rPr>
                <w:rFonts w:ascii="Times New Roman" w:hAnsi="Times New Roman" w:eastAsia="仿宋" w:cs="Times New Roman"/>
                <w:lang w:val="zh-CN"/>
              </w:rPr>
              <w:t>政府采购合同分包、转包</w:t>
            </w:r>
          </w:p>
        </w:tc>
        <w:tc>
          <w:tcPr>
            <w:tcW w:w="7287" w:type="dxa"/>
            <w:tcBorders>
              <w:top w:val="single" w:color="auto" w:sz="8" w:space="0"/>
              <w:left w:val="single" w:color="auto" w:sz="8" w:space="0"/>
              <w:bottom w:val="single" w:color="auto" w:sz="8" w:space="0"/>
              <w:right w:val="single" w:color="auto" w:sz="18" w:space="0"/>
            </w:tcBorders>
            <w:vAlign w:val="center"/>
          </w:tcPr>
          <w:p>
            <w:pPr>
              <w:pStyle w:val="31"/>
              <w:spacing w:line="300" w:lineRule="auto"/>
              <w:ind w:left="210" w:leftChars="100"/>
              <w:jc w:val="both"/>
              <w:rPr>
                <w:rFonts w:ascii="Times New Roman" w:hAnsi="Times New Roman" w:eastAsia="仿宋" w:cs="Times New Roman"/>
                <w:lang w:val="zh-CN"/>
              </w:rPr>
            </w:pPr>
            <w:r>
              <w:rPr>
                <w:rFonts w:ascii="Times New Roman" w:hAnsi="Times New Roman" w:eastAsia="仿宋" w:cs="Times New Roman"/>
                <w:lang w:val="zh-CN"/>
              </w:rPr>
              <w:t>不接受</w:t>
            </w:r>
          </w:p>
        </w:tc>
      </w:tr>
    </w:tbl>
    <w:p>
      <w:pPr>
        <w:spacing w:line="500" w:lineRule="exact"/>
        <w:ind w:firstLine="562" w:firstLineChars="200"/>
        <w:rPr>
          <w:rFonts w:ascii="Times New Roman" w:hAnsi="Times New Roman" w:eastAsia="仿宋" w:cs="Times New Roman"/>
          <w:b/>
          <w:sz w:val="28"/>
          <w:szCs w:val="28"/>
        </w:rPr>
      </w:pP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二、总  则</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（一）适用范围</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本招标文件仅适用于本次采购活动。</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（二）有关定义</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1.“采购人”系指依法进行政府采购的国家机关、事业单位、团体组织。本次招标的采购人是</w:t>
      </w:r>
      <w:r>
        <w:rPr>
          <w:rFonts w:hint="eastAsia" w:ascii="Times New Roman" w:hAnsi="Times New Roman" w:eastAsia="仿宋" w:cs="Times New Roman"/>
          <w:sz w:val="28"/>
          <w:szCs w:val="28"/>
          <w:lang w:val="en-US" w:eastAsia="zh-CN"/>
        </w:rPr>
        <w:t>南江农科村镇银行</w:t>
      </w:r>
      <w:r>
        <w:rPr>
          <w:rFonts w:ascii="Times New Roman" w:hAnsi="Times New Roman" w:eastAsia="仿宋" w:cs="Times New Roman"/>
          <w:sz w:val="28"/>
          <w:szCs w:val="28"/>
        </w:rPr>
        <w:t>。</w:t>
      </w:r>
    </w:p>
    <w:p>
      <w:pPr>
        <w:spacing w:line="50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lang w:val="en-US" w:eastAsia="zh-CN"/>
        </w:rPr>
        <w:t>2</w:t>
      </w:r>
      <w:r>
        <w:rPr>
          <w:rFonts w:ascii="Times New Roman" w:hAnsi="Times New Roman" w:eastAsia="仿宋" w:cs="Times New Roman"/>
          <w:sz w:val="28"/>
          <w:szCs w:val="28"/>
        </w:rPr>
        <w:t>.“投标人”、“投标供应商”、“供应商”系指按规定获取了招标文件拟参加投标和向采购人提供货物、服务的供应商。</w:t>
      </w:r>
    </w:p>
    <w:p>
      <w:pPr>
        <w:spacing w:line="50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lang w:val="en-US" w:eastAsia="zh-CN"/>
        </w:rPr>
        <w:t>3</w:t>
      </w:r>
      <w:r>
        <w:rPr>
          <w:rFonts w:ascii="Times New Roman" w:hAnsi="Times New Roman" w:eastAsia="仿宋" w:cs="Times New Roman"/>
          <w:sz w:val="28"/>
          <w:szCs w:val="28"/>
        </w:rPr>
        <w:t>.“供应商代表”，是指供应商是自然人时的自然人本人，供应商是法人时的法定代表人或其授权代表，供应商是其他组织时的组织负责人或其授权代表。</w:t>
      </w:r>
    </w:p>
    <w:p>
      <w:pPr>
        <w:spacing w:line="50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lang w:val="en-US" w:eastAsia="zh-CN"/>
        </w:rPr>
        <w:t>4</w:t>
      </w:r>
      <w:r>
        <w:rPr>
          <w:rFonts w:ascii="Times New Roman" w:hAnsi="Times New Roman" w:eastAsia="仿宋" w:cs="Times New Roman"/>
          <w:sz w:val="28"/>
          <w:szCs w:val="28"/>
        </w:rPr>
        <w:t>.“签章”，是指签名或者签名加盖章：供应商是自然人时，“签章”由供应商代表签字且无需盖章；供应商是法人或其他组织时，“签章”由供应商代表签字并加盖供应商的印章。</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（三）合格的投标人</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合格的投标人应具备以下条件：</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1.遵守国家有关的法律、法规、规章和其他政策制度；</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2.符合本招标文件第一章第</w:t>
      </w:r>
      <w:r>
        <w:rPr>
          <w:rFonts w:hint="eastAsia" w:ascii="Times New Roman" w:hAnsi="Times New Roman" w:eastAsia="仿宋" w:cs="Times New Roman"/>
          <w:sz w:val="28"/>
          <w:szCs w:val="28"/>
          <w:lang w:val="en-US" w:eastAsia="zh-CN"/>
        </w:rPr>
        <w:t>四</w:t>
      </w:r>
      <w:r>
        <w:rPr>
          <w:rFonts w:ascii="Times New Roman" w:hAnsi="Times New Roman" w:eastAsia="仿宋" w:cs="Times New Roman"/>
          <w:sz w:val="28"/>
          <w:szCs w:val="28"/>
        </w:rPr>
        <w:t>条规定的条件；</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3.按照本招标文件第一章第</w:t>
      </w:r>
      <w:r>
        <w:rPr>
          <w:rFonts w:hint="eastAsia" w:ascii="Times New Roman" w:hAnsi="Times New Roman" w:eastAsia="仿宋" w:cs="Times New Roman"/>
          <w:sz w:val="28"/>
          <w:szCs w:val="28"/>
          <w:lang w:val="en-US" w:eastAsia="zh-CN"/>
        </w:rPr>
        <w:t>六</w:t>
      </w:r>
      <w:r>
        <w:rPr>
          <w:rFonts w:ascii="Times New Roman" w:hAnsi="Times New Roman" w:eastAsia="仿宋" w:cs="Times New Roman"/>
          <w:sz w:val="28"/>
          <w:szCs w:val="28"/>
        </w:rPr>
        <w:t>条的规定获取了招标文件。</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（四）参与采购活动的费用</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供应商参加投标活动的一切费用由供应商自行承担。</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（五）充分、公平竞争保障措施</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1.提供相同品牌产品处理</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2.利害关系供应商处理</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单位负责人为同一人或者存在直接控股、管理关系的不同供应商不得参加同一合同项下的政府采购活动。</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3.前期参与供应商处理</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为采购项目提供整体设计、规范编制或者项目管理、监理、检测等服务的供应商，不得再参加该采购项目的其他采购活动。供应商为采购人在确定采购需求、编制采购文件过程中提供咨询论证，其提供的咨询论证意见成为采购文件中规定的供应商资格条件、技术服务和商务要求、评审因素和标准、政府采购合同等实质性内容条款的，视同为采购项目提供规范编制。</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4.利害关系代理人处理</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2家以上的供应商不得在同一合同项下的采购项目中，同时委托同一个自然人、同一家庭的人员、同一单位的人员作为其代理人，否则，其投标文件作为无效处理。</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（六）中小微型企业优惠政策</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根据《政府采购促进中小企业发展暂行办法》（财库〔2011〕181号）的规定，本项目对小型和微型企业产品的价格给予价格扣除，用扣除后的价格参与评审。监狱企业、残疾人福利性单位是小型及以上企业的，视同小型企业。</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参加政府采购活动的中小企业应当提供《中小企业声明函》，监狱企业应当提供监狱企业证明材料，残疾人福利性单位应当提供《残疾人福利性单位声明函》。未提供不影响投标文件的有效性，但不能享受价格扣除。</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3.小型、微型企业提供中型企业制造的货物的，视同为中型企业。</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4.价格扣除的具体标准按招标文件第六章的规定执行。</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三、招标文件</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（一）招标文件的构成</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招标文件是供应商准备投标文件和参加投标的依据，同时也是评标的重要依据，具有准法律文件性质。招标文件用以阐明招标项目所需的资格、技术、服务及报价等要求、招标投标程序、有关规定和注意事项、合同主要条款等。本招标文件包括以下内容：</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（1）投标邀请；</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（2）投标人须知；</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（3）投标文件格式；</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（4）招标项目的资格要求以及投标人应当提供的资格证明材料；</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（5）招标项目技术、服务和其他要求；</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（6）评标办法；</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（7）合同主要条款。</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2.投标人应认真阅读和充分理解招标文件中所有的事项、格式条款和规范要求。投标人没有对招标文件全面做出实质性响应是投标人的风险。没有按照招标文件要求作出实质性响应的投标文件将被拒绝。</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（二）招标文件的澄清和修改</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1.招标采购单位可以依法对招标文件进行澄清或者修改。</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招标采购单位对已发出的招标文件进行澄清或者修改，应当以书面形式将澄清或者修改的内容通知所有按规定获取了招标文件的供应商，同时在公告发布媒体发布更正公告，该澄清或者修改的内容为招标文件的组成部分。澄清或者修改的内容可能影响投标文件编制的，采购人发布公告并书面通知供应商的时间，应当在投标截止时间至少15日前；不足上述时间的，应当顺延投标截止时间。</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3.投标人认为需要对招标文件进行澄清或者修改的，可以以书面形式向招标采购单位构提出申请，但招标采购单位可以决定是否采纳投标人的申请事项。</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（三）答疑会和现场考察</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2.供应商考察现场所发生的一切费用由供应商自行承担。</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（四）其他</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1.招标文件所称的“以上”、“以下”、“内”、“以内”，包括本数；所称的“不足”，不包括本数。</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2.招标项目要求投标人提供原件资料的，招标文件均以“原件”字样作以标注；未作“原件”标注的，投标资料可使用原件的复印件或影印件。</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四、投标文件</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（一）投标文件的语言</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投标人提交的投标文件以及投标人与招标采购单位就有关投标的所有来往书面文件均应使用中文。投标文件中如附有外文资料，应逐一对应翻译成中文并加盖投标人公章后附在相关外文资料后面，否则，投标人的投标文件将作为无效投标处理。</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2.翻译的中文资料与外文资料如果出现差异和矛盾时，以中文为准。但不能故意错误翻译，否则，投标人的投标文件将作为无效投标处理。</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3.对不同文字文本投标文件的解释发生异议的，以中文文本为准。</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（二）计量单位</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除技术规格及要求中另有规定外，本采购项下的投标均采用国家法定的计量单位。</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（三）投标货币</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本次招标项目的投标均以人民币报价。</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（四）联合体投标</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本项目不接受供应商组成联合体参加政府采购活动。</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（五）知识产权</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2.采购人享有本项目实施过程中产生的知识成果及知识产权。</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投标人如欲在项目实施过程中采用自有知识成果，应在投标文件中声明，并提供相关知识产权证明文件。使用该知识成果后，投标人应提供开发接口和开发手册等技术文档，并承诺提供无限期技术支持，采购人享有永久使用权（含采购人委托第三方在该项目后续开发的使用权）。</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4.如采用投标人所不拥有的知识产权，则在投标报价中应包括合法获取该知识产权的相关费用。</w:t>
      </w:r>
    </w:p>
    <w:p>
      <w:pPr>
        <w:spacing w:line="500" w:lineRule="exact"/>
        <w:ind w:firstLine="562" w:firstLineChars="200"/>
        <w:rPr>
          <w:rFonts w:ascii="Times New Roman" w:hAnsi="Times New Roman" w:eastAsia="仿宋" w:cs="Times New Roman"/>
          <w:b/>
          <w:sz w:val="28"/>
          <w:szCs w:val="28"/>
        </w:rPr>
      </w:pPr>
      <w:bookmarkStart w:id="3" w:name="_Hlk3798868"/>
      <w:r>
        <w:rPr>
          <w:rFonts w:ascii="Times New Roman" w:hAnsi="Times New Roman" w:eastAsia="仿宋" w:cs="Times New Roman"/>
          <w:b/>
          <w:sz w:val="28"/>
          <w:szCs w:val="28"/>
        </w:rPr>
        <w:t>（六）投标担保</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本项目不设投标担保。供应商无需为参加本项目政府采购活动提供投标保证金或投标保函。</w:t>
      </w:r>
    </w:p>
    <w:bookmarkEnd w:id="3"/>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（七）投标有效期</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1.投标文件所载的投标有效期短于规定期限的，其投标将被拒绝或作无效处理。</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2.评标和确定中标人应当在投标有效期结束之日起的30个工作日前完成；不能在前述时间期限内完成评标和确定中标人的，</w:t>
      </w:r>
      <w:r>
        <w:rPr>
          <w:rFonts w:hint="eastAsia" w:ascii="Times New Roman" w:hAnsi="Times New Roman" w:eastAsia="仿宋" w:cs="Times New Roman"/>
          <w:sz w:val="28"/>
          <w:szCs w:val="28"/>
          <w:lang w:val="en-US" w:eastAsia="zh-CN"/>
        </w:rPr>
        <w:t>采购人</w:t>
      </w:r>
      <w:r>
        <w:rPr>
          <w:rFonts w:ascii="Times New Roman" w:hAnsi="Times New Roman" w:eastAsia="仿宋" w:cs="Times New Roman"/>
          <w:sz w:val="28"/>
          <w:szCs w:val="28"/>
        </w:rPr>
        <w:t>应当通知所有投标人延长投标有效期。同意延长投标有效期的投标人不得修改投标文件的实质性内容。</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（八）投标文件的组成</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投标人编写的投标文件应包括下列部分：</w:t>
      </w:r>
    </w:p>
    <w:p>
      <w:pPr>
        <w:spacing w:line="500" w:lineRule="exact"/>
        <w:ind w:firstLine="562" w:firstLineChars="200"/>
        <w:rPr>
          <w:rFonts w:ascii="Times New Roman" w:hAnsi="Times New Roman" w:eastAsia="仿宋" w:cs="Times New Roman"/>
          <w:sz w:val="28"/>
          <w:szCs w:val="28"/>
        </w:rPr>
      </w:pPr>
      <w:r>
        <w:rPr>
          <w:rFonts w:ascii="Times New Roman" w:hAnsi="Times New Roman" w:eastAsia="仿宋" w:cs="Times New Roman"/>
          <w:b/>
          <w:sz w:val="28"/>
          <w:szCs w:val="28"/>
        </w:rPr>
        <w:t>1.资格部分。</w:t>
      </w:r>
      <w:r>
        <w:rPr>
          <w:rFonts w:ascii="Times New Roman" w:hAnsi="Times New Roman" w:eastAsia="仿宋" w:cs="Times New Roman"/>
          <w:sz w:val="28"/>
          <w:szCs w:val="28"/>
        </w:rPr>
        <w:t>投标人按照招标文件第四章的要求提供有关证明材料。</w:t>
      </w:r>
    </w:p>
    <w:p>
      <w:pPr>
        <w:spacing w:line="500" w:lineRule="exact"/>
        <w:ind w:firstLine="562" w:firstLineChars="200"/>
        <w:rPr>
          <w:rFonts w:ascii="Times New Roman" w:hAnsi="Times New Roman" w:eastAsia="仿宋" w:cs="Times New Roman"/>
          <w:sz w:val="28"/>
          <w:szCs w:val="28"/>
        </w:rPr>
      </w:pPr>
      <w:r>
        <w:rPr>
          <w:rFonts w:ascii="Times New Roman" w:hAnsi="Times New Roman" w:eastAsia="仿宋" w:cs="Times New Roman"/>
          <w:b/>
          <w:sz w:val="28"/>
          <w:szCs w:val="28"/>
        </w:rPr>
        <w:t>2.报价部分。</w:t>
      </w:r>
      <w:r>
        <w:rPr>
          <w:rFonts w:ascii="Times New Roman" w:hAnsi="Times New Roman" w:eastAsia="仿宋" w:cs="Times New Roman"/>
          <w:sz w:val="28"/>
          <w:szCs w:val="28"/>
        </w:rPr>
        <w:t>投标人应为本项目准备“开标一览表”。本项目的报价要求：</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投标人的报价是投标人响应招标项目要求的全部工作内容的价格体现，是投标人完成本项目所需的一切费用，是最终用户验收合格后的总价，包括设备、物流、保险、劳务、安装、调试、培训、服务、税费等和招标文件规定的其它费用，即包干价。</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（2）投标人</w:t>
      </w:r>
      <w:bookmarkStart w:id="4" w:name="_Hlk497229046"/>
      <w:r>
        <w:rPr>
          <w:rFonts w:ascii="Times New Roman" w:hAnsi="Times New Roman" w:eastAsia="仿宋" w:cs="Times New Roman"/>
          <w:sz w:val="28"/>
          <w:szCs w:val="28"/>
        </w:rPr>
        <w:t>每种货物或服务项</w:t>
      </w:r>
      <w:bookmarkEnd w:id="4"/>
      <w:r>
        <w:rPr>
          <w:rFonts w:ascii="Times New Roman" w:hAnsi="Times New Roman" w:eastAsia="仿宋" w:cs="Times New Roman"/>
          <w:sz w:val="28"/>
          <w:szCs w:val="28"/>
        </w:rPr>
        <w:t>只允许有一个报价，并且在合同履行过程中是固定不变的，任何有选择或可调整的报价将不予接受，并按无效投标处理。</w:t>
      </w:r>
    </w:p>
    <w:p>
      <w:pPr>
        <w:spacing w:line="500" w:lineRule="exact"/>
        <w:ind w:firstLine="562" w:firstLineChars="200"/>
        <w:rPr>
          <w:rFonts w:ascii="Times New Roman" w:hAnsi="Times New Roman" w:eastAsia="仿宋" w:cs="Times New Roman"/>
          <w:sz w:val="28"/>
          <w:szCs w:val="28"/>
        </w:rPr>
      </w:pPr>
      <w:r>
        <w:rPr>
          <w:rFonts w:ascii="Times New Roman" w:hAnsi="Times New Roman" w:eastAsia="仿宋" w:cs="Times New Roman"/>
          <w:b/>
          <w:sz w:val="28"/>
          <w:szCs w:val="28"/>
        </w:rPr>
        <w:t>3.商务部分。</w:t>
      </w:r>
      <w:r>
        <w:rPr>
          <w:rFonts w:ascii="Times New Roman" w:hAnsi="Times New Roman" w:eastAsia="仿宋" w:cs="Times New Roman"/>
          <w:sz w:val="28"/>
          <w:szCs w:val="28"/>
        </w:rPr>
        <w:t>投标人按照招标文件要求提供的有关证明材料。包括以下内容：</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（1）投标人基本情况表；</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（2）执行产品价格扣除的有关材料（若有）；</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（3）证明投标人业绩和荣誉的有关材料；</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（4）商务应答表；</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（5）投标人认为需要提供的其他文件和资料。</w:t>
      </w:r>
    </w:p>
    <w:p>
      <w:pPr>
        <w:spacing w:line="500" w:lineRule="exact"/>
        <w:ind w:firstLine="562" w:firstLineChars="200"/>
        <w:rPr>
          <w:rFonts w:ascii="Times New Roman" w:hAnsi="Times New Roman" w:eastAsia="仿宋" w:cs="Times New Roman"/>
          <w:sz w:val="28"/>
          <w:szCs w:val="28"/>
        </w:rPr>
      </w:pPr>
      <w:r>
        <w:rPr>
          <w:rFonts w:ascii="Times New Roman" w:hAnsi="Times New Roman" w:eastAsia="仿宋" w:cs="Times New Roman"/>
          <w:b/>
          <w:sz w:val="28"/>
          <w:szCs w:val="28"/>
        </w:rPr>
        <w:t>4.技术部分。</w:t>
      </w:r>
      <w:r>
        <w:rPr>
          <w:rFonts w:ascii="Times New Roman" w:hAnsi="Times New Roman" w:eastAsia="仿宋" w:cs="Times New Roman"/>
          <w:sz w:val="28"/>
          <w:szCs w:val="28"/>
        </w:rPr>
        <w:t>投标人按照招标文件要求作出技术应答，主要是针对招标文件第五章的技术、服务要求作出的实质性响应和满足。包括下列内容：</w:t>
      </w:r>
    </w:p>
    <w:p>
      <w:pPr>
        <w:spacing w:line="500" w:lineRule="exact"/>
        <w:ind w:firstLine="560" w:firstLineChars="200"/>
        <w:rPr>
          <w:rFonts w:ascii="Times New Roman" w:hAnsi="Times New Roman" w:eastAsia="仿宋" w:cs="Times New Roman"/>
          <w:sz w:val="28"/>
          <w:szCs w:val="28"/>
        </w:rPr>
      </w:pPr>
      <w:bookmarkStart w:id="5" w:name="_Hlk497229122"/>
      <w:r>
        <w:rPr>
          <w:rFonts w:ascii="Times New Roman" w:hAnsi="Times New Roman" w:eastAsia="仿宋" w:cs="Times New Roman"/>
          <w:sz w:val="28"/>
          <w:szCs w:val="28"/>
        </w:rPr>
        <w:t>（1）投标产品的品牌、型号、技术参数；</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（2）关于招标要求的应答对照表；</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（3）项目组织实施方案；</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（4）项目人员配备情况；</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（5）产品彩页资料和产品工作环境条件说明；</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（6）售后服务；</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（7）投标人认为需要提供的文件和资料。</w:t>
      </w:r>
    </w:p>
    <w:bookmarkEnd w:id="5"/>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5.</w:t>
      </w:r>
      <w:r>
        <w:rPr>
          <w:rFonts w:ascii="Times New Roman" w:hAnsi="Times New Roman" w:eastAsia="仿宋" w:cs="Times New Roman"/>
          <w:b/>
          <w:sz w:val="28"/>
          <w:szCs w:val="28"/>
        </w:rPr>
        <w:t>样品。</w:t>
      </w:r>
      <w:r>
        <w:rPr>
          <w:rFonts w:ascii="Times New Roman" w:hAnsi="Times New Roman" w:eastAsia="仿宋" w:cs="Times New Roman"/>
          <w:sz w:val="28"/>
          <w:szCs w:val="28"/>
        </w:rPr>
        <w:t>投标人可为本项目提交样品。样品是投标文件的组成部分但不是书面组成部分，没有正本和副本的区别。</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（九）投标文件格式</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1.招标文件第三章提供了投标文件示例格式，投标人应尽量对照该格式编制投标文件。</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2.除特别明确为“实质性格式”的内容，招标文件提供的格式一律不具备强制性；具体明确情况详见招标文件第三章。</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3.对于没有格式要求的投标材料由投标人自行编制。</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（十）投标文件的印制和签署</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1.投标文件统一用A4幅面纸印制，使用胶装方式装订成册。</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2.投标文件需打印或用不褪色、不变质的墨水书写，并由供应商签章。</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3.投标文件的打印和书写应清楚工整，任何行间插字、涂改或增删，需由供应商签章或供应商代表签字。</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4.投标截止前，投标人应提交的书面投标文件包括：</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（1）投标文件的资格部分；</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（2）投标文件的报价部分、商务部分、技术部分。</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其中，前述“（2）投标文件的报价部分、商务部分、技术部分”应按照投标人须知附表规定的数量制作正本、副本，否则其投标将作无效处理。</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投标人无须为“（1）投标文件的资格部分”制作正本、副本，也无须将其与“（2）投标文件的报价部分、商务部分、技术部分”合并装订。“（1）投标文件的资格部分”的数量可以为1份。</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5.投标人可以为开标唱标单独制作 “开标一览表”。单独制作或封装于投标文件正本内的“开标一览表”应当为原件。</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6.书面文件的副本可以是正本的复印件；若正本和副本有不一致的内容，以正本为准。正本和各副本的封面上应注明投标人名称、招标编号、项目名称，封面右上角清楚的标明“正本”或“副本”字样。</w:t>
      </w:r>
    </w:p>
    <w:p>
      <w:pPr>
        <w:spacing w:line="500" w:lineRule="exact"/>
        <w:ind w:firstLine="562" w:firstLineChars="200"/>
        <w:rPr>
          <w:rFonts w:ascii="Times New Roman" w:hAnsi="Times New Roman" w:eastAsia="仿宋" w:cs="Times New Roman"/>
          <w:sz w:val="28"/>
          <w:szCs w:val="28"/>
        </w:rPr>
      </w:pPr>
      <w:r>
        <w:rPr>
          <w:rFonts w:ascii="Times New Roman" w:hAnsi="Times New Roman" w:eastAsia="仿宋" w:cs="Times New Roman"/>
          <w:b/>
          <w:sz w:val="28"/>
          <w:szCs w:val="28"/>
        </w:rPr>
        <w:t>（十一）投标文件的密封和标注</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1.投标文件应当密封。未密封的投标文件将被拒绝接收。投标人单独制作和提交“开标一览表”的，该“开标一览表”应当密封。</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2.密封袋或密封盒的封面应当注明投标人名称、招标编号、项目名称。</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3.投标文件已被确认接收，但其标注与招标文件规定有差别的，将按照《四川省政府采购评审工作规程》的规定处理。</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4.样品可以不作密封和标注。投标人无须为样品准备“副本”。</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（十二）投标文件的提交</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1.投标文件应在投标截止时间前送达开标地点。</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2.提交投标文件的有关人员应是供应商代表。提交投标文件的有关人员应向招标采购单位出示能够证明身份的证件，并现场登记有关信息，否则招标采购单位可以拒收该投标文件。</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3.逾期送达或者未密封的投标文件，招标采购单位应当拒收。</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4.已确认接收的书面投标文件招标采购单位将不予退回。</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（十三）投标文件的修改和撤回</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1.投标人提交了投标文件后，可在投标截止时间前书面告知招标采购单位，对投标文件进行修改和撤回，但应在投标截止时间前完成投标文件的提交。</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2.投标人的修改书或撤回通知书，应由供应商签章。修改书应按本章规定进行密封和标注，并在密封袋或密封盒上标注“修改”字样。</w:t>
      </w:r>
    </w:p>
    <w:p>
      <w:pPr>
        <w:spacing w:line="500" w:lineRule="exact"/>
        <w:ind w:firstLine="560" w:firstLineChars="200"/>
        <w:rPr>
          <w:rFonts w:ascii="Times New Roman" w:hAnsi="Times New Roman" w:eastAsia="仿宋" w:cs="Times New Roman"/>
          <w:b/>
          <w:sz w:val="28"/>
          <w:szCs w:val="28"/>
        </w:rPr>
      </w:pPr>
      <w:r>
        <w:rPr>
          <w:rFonts w:ascii="Times New Roman" w:hAnsi="Times New Roman" w:eastAsia="仿宋" w:cs="Times New Roman"/>
          <w:sz w:val="28"/>
          <w:szCs w:val="28"/>
        </w:rPr>
        <w:t>3.在投标截止时间之后，投标人不得对其提交的投标文件做任何修改或撤回投标。</w:t>
      </w:r>
    </w:p>
    <w:p>
      <w:pPr>
        <w:spacing w:line="500" w:lineRule="exact"/>
        <w:ind w:firstLine="560" w:firstLineChars="200"/>
        <w:rPr>
          <w:rFonts w:ascii="Times New Roman" w:hAnsi="Times New Roman" w:eastAsia="仿宋" w:cs="Times New Roman"/>
          <w:b/>
          <w:sz w:val="28"/>
          <w:szCs w:val="28"/>
        </w:rPr>
      </w:pPr>
      <w:r>
        <w:rPr>
          <w:rFonts w:ascii="Times New Roman" w:hAnsi="Times New Roman" w:eastAsia="仿宋" w:cs="Times New Roman"/>
          <w:sz w:val="28"/>
          <w:szCs w:val="28"/>
        </w:rPr>
        <w:t>4.投标文件报价出现前后不一致的，按照下列规定修正：</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（1）开标一览表内容与投标文件中相应内容不一致的，以开标一览表为准；</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（2）大写金额和小写金额不一致的，以大写金额为准；</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（3）单价金额小数点或者百分比有明显错位的，以开标一览表的总价为准，并修改单价；</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（4）总价金额与按单价汇总金额不一致的，以单价金额计算结果为准。</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同时出现两种以上不一致的，按照上述顺序修正。修正后的报价由投标人作出书面形式的澄清、说明或者补正进行确认。确认后的报价对投标人具有约束力。投标人不确认的，其投标无效。</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五、开标、资格审查、评标和中标</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（一）开标</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1.出席开标会</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（1）开标在招标文件规定的时间和地点公开进行，采购人、投标人应派代表参加并签到以证明其出席。开标由</w:t>
      </w:r>
      <w:r>
        <w:rPr>
          <w:rFonts w:hint="eastAsia" w:ascii="Times New Roman" w:hAnsi="Times New Roman" w:eastAsia="仿宋" w:cs="Times New Roman"/>
          <w:sz w:val="28"/>
          <w:szCs w:val="28"/>
          <w:lang w:val="en-US" w:eastAsia="zh-CN"/>
        </w:rPr>
        <w:t>采购人</w:t>
      </w:r>
      <w:r>
        <w:rPr>
          <w:rFonts w:ascii="Times New Roman" w:hAnsi="Times New Roman" w:eastAsia="仿宋" w:cs="Times New Roman"/>
          <w:sz w:val="28"/>
          <w:szCs w:val="28"/>
        </w:rPr>
        <w:t>主持。</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（2）投标人代表对开标过程和开标记录有疑义，以及认为招标采购单位相关工作人员有需要回避的情形的，应当场提出询问或者回避申请。招标采购单位对投标人代表提出的询问或者回避申请应当及时处理。</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（3）投标人不足3家的，不进行开标。</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2.主持人宣布开标会开始</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开标时间到，主持人宣布开标会开始并致辞，介绍参加开标会的各方人员。</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3.主持人宣布会场纪律和有关注意事项。</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4.检查投标文件的密封情况</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（1）主持人组织投标人或者其推选的代表检查投标文件的密封情况。</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（2）投标人或者其推选的代表确认投标文件情况，仅限于确认其自己提交的投标文件的密封情况，而不确认其他投标人的投标文件密封情况。</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（3）任何人不得干扰、阻挠开标工作的正常进行。</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5.唱标</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招标采购单位工作人员按任意顺序当众开启“开标一览表”，按开标一览表记载内容宣布投标人名称、投标价格和招标文件规定的需要宣布的其他内容。投标人未单独提交“开标一览表”的，招标采购单位将开启该投标人的投标文件唱标。</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（2）唱标过程中，如遇有字迹不清楚的，应经监督人员和采购人现场核实后，由投标人代表现场进行澄清或确认。</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（3）所有投标唱标完毕，如投标人代表对宣读的“开标一览表”上的内容有异议的，应在获得开标会主持人同意后当场提出。如确实属于唱标人员宣读错了的，经现场监督人员核实后，当场予以更正。</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6.宣布开标会结束。主持人宣布开标会结束后，参会人员退场。</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（二）资格审查</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1.招标采购单位对投标人的资格进行审查。</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招标采购单位将依据法律法规和招标文件的规定，对供应商代表是否与投标文件的记载一致、投标人是否按照规定要求提供资格性证明材料、是否属于禁止参加投标的供应商等进行审查，以确定投标供应商是否具备投标资格。其中，采购人需按照招标文件的规定现场查询各投标人的信用信息记录情况，打印查询结果，对不符合条件的投标人作资格审查不通过处理。</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3.资格审查合格投标人不足3家的，不得评标。</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（三）评标</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1.成立评标委员会</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评标委员会成员由采购人</w:t>
      </w:r>
      <w:r>
        <w:rPr>
          <w:rFonts w:hint="eastAsia" w:ascii="Times New Roman" w:hAnsi="Times New Roman" w:eastAsia="仿宋" w:cs="Times New Roman"/>
          <w:sz w:val="28"/>
          <w:szCs w:val="28"/>
          <w:lang w:val="en-US" w:eastAsia="zh-CN"/>
        </w:rPr>
        <w:t>组织</w:t>
      </w:r>
      <w:r>
        <w:rPr>
          <w:rFonts w:ascii="Times New Roman" w:hAnsi="Times New Roman" w:eastAsia="仿宋" w:cs="Times New Roman"/>
          <w:sz w:val="28"/>
          <w:szCs w:val="28"/>
        </w:rPr>
        <w:t>有关技术、经济等方面的专家组成。</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2.符合性审查</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（1）评标委员会依据招标文件的规定，从投标文件的有效性、完整性和对招标文件的响应程度进行审查，以确定是否对招标文件的要求作出实质性响应。</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（2）通过符合性审查的供应商不足3家的，本次招标采购活动终止。</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3.评标委员会需要投标人对投标文件作出必要的澄清、说明或者补正的，投标人应当及时作出澄清、说明或者补正。</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评标委员会按照招标文件规定的评标程序对各投标人进行评价。评标委员会完成评标后，将根据评标情况如实编写《评标报告》，推荐中标候选人，并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（四）中标</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1.采购人根据《评标报告》和政府采购有关规定，在5个工作日内确定中标人，</w:t>
      </w:r>
      <w:r>
        <w:rPr>
          <w:rFonts w:hint="eastAsia" w:ascii="Times New Roman" w:hAnsi="Times New Roman" w:eastAsia="仿宋" w:cs="Times New Roman"/>
          <w:sz w:val="28"/>
          <w:szCs w:val="28"/>
          <w:lang w:val="en-US" w:eastAsia="zh-CN"/>
        </w:rPr>
        <w:t>向中标人</w:t>
      </w:r>
      <w:r>
        <w:rPr>
          <w:rFonts w:ascii="Times New Roman" w:hAnsi="Times New Roman" w:eastAsia="仿宋" w:cs="Times New Roman"/>
          <w:sz w:val="28"/>
          <w:szCs w:val="28"/>
        </w:rPr>
        <w:t>发出《</w:t>
      </w:r>
      <w:r>
        <w:rPr>
          <w:rFonts w:hint="eastAsia" w:ascii="Times New Roman" w:hAnsi="Times New Roman" w:eastAsia="仿宋" w:cs="Times New Roman"/>
          <w:sz w:val="28"/>
          <w:szCs w:val="28"/>
          <w:lang w:val="en-US" w:eastAsia="zh-CN"/>
        </w:rPr>
        <w:t>中标通知书</w:t>
      </w:r>
      <w:r>
        <w:rPr>
          <w:rFonts w:ascii="Times New Roman" w:hAnsi="Times New Roman" w:eastAsia="仿宋" w:cs="Times New Roman"/>
          <w:sz w:val="28"/>
          <w:szCs w:val="28"/>
        </w:rPr>
        <w:t>》。</w:t>
      </w:r>
    </w:p>
    <w:p>
      <w:pPr>
        <w:spacing w:line="50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lang w:val="en-US" w:eastAsia="zh-CN"/>
        </w:rPr>
        <w:t>2</w:t>
      </w:r>
      <w:r>
        <w:rPr>
          <w:rFonts w:ascii="Times New Roman" w:hAnsi="Times New Roman" w:eastAsia="仿宋" w:cs="Times New Roman"/>
          <w:sz w:val="28"/>
          <w:szCs w:val="28"/>
        </w:rPr>
        <w:t>.《中标通知书》为签订政府采购合同的依据，是合同的有效组成部分。</w:t>
      </w:r>
    </w:p>
    <w:p>
      <w:pPr>
        <w:spacing w:line="50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lang w:val="en-US" w:eastAsia="zh-CN"/>
        </w:rPr>
        <w:t>3</w:t>
      </w:r>
      <w:r>
        <w:rPr>
          <w:rFonts w:ascii="Times New Roman" w:hAnsi="Times New Roman" w:eastAsia="仿宋" w:cs="Times New Roman"/>
          <w:sz w:val="28"/>
          <w:szCs w:val="28"/>
        </w:rPr>
        <w:t>.《中标通知书》对采购人和中标人均具有法律效力。《中标通知书》发出后，采购人改变中标结果，或者中标人无正当理由放弃中标的，应当承担相应的法律责任。</w:t>
      </w:r>
    </w:p>
    <w:p>
      <w:pPr>
        <w:spacing w:line="50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lang w:val="en-US" w:eastAsia="zh-CN"/>
        </w:rPr>
        <w:t>4</w:t>
      </w:r>
      <w:r>
        <w:rPr>
          <w:rFonts w:ascii="Times New Roman" w:hAnsi="Times New Roman" w:eastAsia="仿宋" w:cs="Times New Roman"/>
          <w:sz w:val="28"/>
          <w:szCs w:val="28"/>
        </w:rPr>
        <w:t>.中标人的投标文件本应作为无效投标处理或者有政府采购法律法规规章制度规定的无效情形的，采购人在取得有权主体的认定以后，应当宣布发出的《中标通知书》无效，并收回已发出的《中标通知书》，依法重新确定中标人或者重新开展采购活动。</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六、签订、履行合同及验收</w:t>
      </w:r>
    </w:p>
    <w:p>
      <w:pPr>
        <w:spacing w:line="500" w:lineRule="exact"/>
        <w:ind w:firstLine="562" w:firstLineChars="200"/>
        <w:rPr>
          <w:rFonts w:ascii="Times New Roman" w:hAnsi="Times New Roman" w:eastAsia="仿宋" w:cs="Times New Roman"/>
          <w:sz w:val="28"/>
          <w:szCs w:val="28"/>
          <w:u w:val="single"/>
        </w:rPr>
      </w:pPr>
      <w:r>
        <w:rPr>
          <w:rFonts w:ascii="Times New Roman" w:hAnsi="Times New Roman" w:eastAsia="仿宋" w:cs="Times New Roman"/>
          <w:b/>
          <w:sz w:val="28"/>
          <w:szCs w:val="28"/>
        </w:rPr>
        <w:t>（一）履约担保</w:t>
      </w:r>
      <w:bookmarkStart w:id="6" w:name="_Hlk3799496"/>
    </w:p>
    <w:bookmarkEnd w:id="6"/>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本项目不设履约担保。中标人无需为履行本项目政府采购合同提供履约保证金或履约保函。</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（二）签订合同</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中标人应在中标通知书发出之日起30日内与采购人签订采购合同。由于中标人的原因逾期未与采购人签订采购合同的，将视为放弃中标，采购人在取得有权主体的认定后，有权取消其中标资格并按相关规定进行处理。</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2.采购人不得向中标人提出任何不合理的要求，作为签订合同的条件，不得与中标人私下订立背离合同实质性内容的任何协议，所签订的合同不得对招标文件和中标人投标文件作实质性修改。</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3.中标人因不可抗力原因不能履行采购合同或拒绝签订合同，采购人可以按照《评标报告》推荐的中标候选人名单排序，确定下一候选人为中标供应商，也可以重新开展政府采购活动。</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（三）合同分包</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本项目不允许政府采购合同分包、转包，投标人将履行政府采购合同的部分工作交由他人完成的投标文件将作无效处理。</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w:t>
      </w:r>
      <w:r>
        <w:rPr>
          <w:rFonts w:hint="eastAsia" w:ascii="Times New Roman" w:hAnsi="Times New Roman" w:eastAsia="仿宋" w:cs="Times New Roman"/>
          <w:b/>
          <w:sz w:val="28"/>
          <w:szCs w:val="28"/>
          <w:lang w:val="en-US" w:eastAsia="zh-CN"/>
        </w:rPr>
        <w:t>四</w:t>
      </w:r>
      <w:r>
        <w:rPr>
          <w:rFonts w:ascii="Times New Roman" w:hAnsi="Times New Roman" w:eastAsia="仿宋" w:cs="Times New Roman"/>
          <w:b/>
          <w:sz w:val="28"/>
          <w:szCs w:val="28"/>
        </w:rPr>
        <w:t>）采购人增加合同标的权利</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采购合同履行过程中，采购人需要追加与合同标的相同的货物或者服务的，在不改变合同其他条款的前提下，可以与中标人协商签订补充合同，但所有补充合同的采购金额不得超过原合同采购金额的10%。</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w:t>
      </w:r>
      <w:r>
        <w:rPr>
          <w:rFonts w:hint="eastAsia" w:ascii="Times New Roman" w:hAnsi="Times New Roman" w:eastAsia="仿宋" w:cs="Times New Roman"/>
          <w:b/>
          <w:sz w:val="28"/>
          <w:szCs w:val="28"/>
          <w:lang w:val="en-US" w:eastAsia="zh-CN"/>
        </w:rPr>
        <w:t>五</w:t>
      </w:r>
      <w:r>
        <w:rPr>
          <w:rFonts w:ascii="Times New Roman" w:hAnsi="Times New Roman" w:eastAsia="仿宋" w:cs="Times New Roman"/>
          <w:b/>
          <w:sz w:val="28"/>
          <w:szCs w:val="28"/>
        </w:rPr>
        <w:t>）履行合同</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1.中标人与采购人签订合同后，合同双方应严格执行合同条款，履行合同规定的义务，保证合同的顺利完成。</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2.在合同履行过程中，如发生合同纠纷，合同双方应按照《合同法》的有关规定进行处理。</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w:t>
      </w:r>
      <w:r>
        <w:rPr>
          <w:rFonts w:hint="eastAsia" w:ascii="Times New Roman" w:hAnsi="Times New Roman" w:eastAsia="仿宋" w:cs="Times New Roman"/>
          <w:b/>
          <w:sz w:val="28"/>
          <w:szCs w:val="28"/>
          <w:lang w:val="en-US" w:eastAsia="zh-CN"/>
        </w:rPr>
        <w:t>六</w:t>
      </w:r>
      <w:r>
        <w:rPr>
          <w:rFonts w:ascii="Times New Roman" w:hAnsi="Times New Roman" w:eastAsia="仿宋" w:cs="Times New Roman"/>
          <w:b/>
          <w:sz w:val="28"/>
          <w:szCs w:val="28"/>
        </w:rPr>
        <w:t>）验收</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供应商完成项目后，采购人应严格按照四川省财政厅《关于印发&lt;四川省政府采购项目需求论证和履约验收管理办法&gt;的通知》（川财采〔2015〕32号）的要求进行验收。</w:t>
      </w:r>
    </w:p>
    <w:p>
      <w:pPr>
        <w:spacing w:line="50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（八）支付合同价款</w:t>
      </w:r>
    </w:p>
    <w:p>
      <w:pPr>
        <w:pStyle w:val="31"/>
        <w:keepNext w:val="0"/>
        <w:keepLines w:val="0"/>
        <w:pageBreakBefore w:val="0"/>
        <w:widowControl w:val="0"/>
        <w:kinsoku/>
        <w:wordWrap/>
        <w:overflowPunct/>
        <w:topLinePunct w:val="0"/>
        <w:bidi w:val="0"/>
        <w:snapToGrid/>
        <w:spacing w:line="360" w:lineRule="auto"/>
        <w:ind w:left="210" w:leftChars="0" w:firstLine="560" w:firstLineChars="200"/>
        <w:textAlignment w:val="auto"/>
        <w:rPr>
          <w:rFonts w:ascii="Times New Roman" w:hAnsi="Times New Roman" w:eastAsia="仿宋" w:cs="Times New Roman"/>
          <w:sz w:val="28"/>
          <w:szCs w:val="28"/>
          <w:lang w:val="zh-CN"/>
        </w:rPr>
      </w:pPr>
      <w:r>
        <w:rPr>
          <w:rFonts w:ascii="Times New Roman" w:hAnsi="Times New Roman" w:eastAsia="仿宋" w:cs="Times New Roman"/>
          <w:sz w:val="28"/>
          <w:szCs w:val="28"/>
          <w:lang w:val="zh-CN"/>
        </w:rPr>
        <w:t>（1）政府采购合同签订后，支付合同总价款的20%；</w:t>
      </w:r>
    </w:p>
    <w:p>
      <w:pPr>
        <w:pStyle w:val="31"/>
        <w:keepNext w:val="0"/>
        <w:keepLines w:val="0"/>
        <w:pageBreakBefore w:val="0"/>
        <w:widowControl w:val="0"/>
        <w:kinsoku/>
        <w:wordWrap/>
        <w:overflowPunct/>
        <w:topLinePunct w:val="0"/>
        <w:bidi w:val="0"/>
        <w:snapToGrid/>
        <w:spacing w:line="360" w:lineRule="auto"/>
        <w:ind w:left="210" w:leftChars="0" w:firstLine="560" w:firstLineChars="200"/>
        <w:textAlignment w:val="auto"/>
        <w:rPr>
          <w:rFonts w:ascii="Times New Roman" w:hAnsi="Times New Roman" w:eastAsia="仿宋" w:cs="Times New Roman"/>
          <w:sz w:val="28"/>
          <w:szCs w:val="28"/>
          <w:lang w:val="zh-CN"/>
        </w:rPr>
      </w:pPr>
      <w:r>
        <w:rPr>
          <w:rFonts w:ascii="Times New Roman" w:hAnsi="Times New Roman" w:eastAsia="仿宋" w:cs="Times New Roman"/>
          <w:sz w:val="28"/>
          <w:szCs w:val="28"/>
          <w:lang w:val="zh-CN"/>
        </w:rPr>
        <w:t>（2）项目通过初步验收合格后，进入20日的试运行期，试运期无质量技术问题，由采购人在试运期届满之日起的7日内组织最终验收；</w:t>
      </w:r>
    </w:p>
    <w:p>
      <w:pPr>
        <w:pStyle w:val="31"/>
        <w:keepNext w:val="0"/>
        <w:keepLines w:val="0"/>
        <w:pageBreakBefore w:val="0"/>
        <w:widowControl w:val="0"/>
        <w:kinsoku/>
        <w:wordWrap/>
        <w:overflowPunct/>
        <w:topLinePunct w:val="0"/>
        <w:bidi w:val="0"/>
        <w:snapToGrid/>
        <w:spacing w:line="360" w:lineRule="auto"/>
        <w:ind w:left="210" w:leftChars="0" w:firstLine="560" w:firstLineChars="200"/>
        <w:textAlignment w:val="auto"/>
        <w:rPr>
          <w:rFonts w:ascii="Times New Roman" w:hAnsi="Times New Roman" w:eastAsia="仿宋" w:cs="Times New Roman"/>
          <w:sz w:val="28"/>
          <w:szCs w:val="28"/>
          <w:lang w:val="zh-CN"/>
        </w:rPr>
      </w:pPr>
      <w:r>
        <w:rPr>
          <w:rFonts w:ascii="Times New Roman" w:hAnsi="Times New Roman" w:eastAsia="仿宋" w:cs="Times New Roman"/>
          <w:sz w:val="28"/>
          <w:szCs w:val="28"/>
          <w:lang w:val="zh-CN"/>
        </w:rPr>
        <w:t>（3）项目最终验收合格后，支付合同总价款的75%；</w:t>
      </w:r>
    </w:p>
    <w:p>
      <w:pPr>
        <w:pStyle w:val="31"/>
        <w:keepNext w:val="0"/>
        <w:keepLines w:val="0"/>
        <w:pageBreakBefore w:val="0"/>
        <w:widowControl w:val="0"/>
        <w:kinsoku/>
        <w:wordWrap/>
        <w:overflowPunct/>
        <w:topLinePunct w:val="0"/>
        <w:bidi w:val="0"/>
        <w:snapToGrid/>
        <w:spacing w:line="360" w:lineRule="auto"/>
        <w:ind w:left="210" w:leftChars="0" w:firstLine="560" w:firstLineChars="200"/>
        <w:textAlignment w:val="auto"/>
        <w:rPr>
          <w:rFonts w:ascii="Times New Roman" w:hAnsi="Times New Roman" w:eastAsia="仿宋" w:cs="Times New Roman"/>
          <w:sz w:val="28"/>
          <w:szCs w:val="28"/>
          <w:lang w:val="zh-CN"/>
        </w:rPr>
      </w:pPr>
      <w:r>
        <w:rPr>
          <w:rFonts w:ascii="Times New Roman" w:hAnsi="Times New Roman" w:eastAsia="仿宋" w:cs="Times New Roman"/>
          <w:sz w:val="28"/>
          <w:szCs w:val="28"/>
          <w:lang w:val="zh-CN"/>
        </w:rPr>
        <w:t>（4）剩余5%转为质量保证金，1年后无息退还；</w:t>
      </w:r>
    </w:p>
    <w:p>
      <w:pPr>
        <w:keepNext w:val="0"/>
        <w:keepLines w:val="0"/>
        <w:pageBreakBefore w:val="0"/>
        <w:widowControl w:val="0"/>
        <w:kinsoku/>
        <w:wordWrap/>
        <w:overflowPunct/>
        <w:topLinePunct w:val="0"/>
        <w:bidi w:val="0"/>
        <w:snapToGrid/>
        <w:spacing w:line="500" w:lineRule="exact"/>
        <w:ind w:left="0" w:leftChars="0" w:firstLine="560" w:firstLineChars="200"/>
        <w:textAlignment w:val="auto"/>
        <w:rPr>
          <w:rFonts w:ascii="Times New Roman" w:hAnsi="Times New Roman" w:eastAsia="仿宋" w:cs="Times New Roman"/>
          <w:sz w:val="28"/>
          <w:szCs w:val="28"/>
          <w:lang w:val="zh-CN"/>
        </w:rPr>
      </w:pPr>
      <w:r>
        <w:rPr>
          <w:rFonts w:ascii="Times New Roman" w:hAnsi="Times New Roman" w:eastAsia="仿宋" w:cs="Times New Roman"/>
          <w:sz w:val="28"/>
          <w:szCs w:val="28"/>
          <w:lang w:val="zh-CN"/>
        </w:rPr>
        <w:t>（5）本项目未支付的合同价款不计利息</w:t>
      </w:r>
    </w:p>
    <w:p>
      <w:pPr>
        <w:spacing w:line="500" w:lineRule="exact"/>
        <w:ind w:firstLine="562" w:firstLineChars="200"/>
        <w:rPr>
          <w:rFonts w:ascii="Times New Roman" w:hAnsi="Times New Roman" w:eastAsia="仿宋" w:cs="Times New Roman"/>
          <w:b/>
          <w:sz w:val="28"/>
          <w:szCs w:val="28"/>
        </w:rPr>
      </w:pPr>
      <w:r>
        <w:rPr>
          <w:rFonts w:hint="eastAsia" w:ascii="Times New Roman" w:hAnsi="Times New Roman" w:eastAsia="仿宋" w:cs="Times New Roman"/>
          <w:b/>
          <w:sz w:val="28"/>
          <w:szCs w:val="28"/>
          <w:lang w:val="en-US" w:eastAsia="zh-CN"/>
        </w:rPr>
        <w:t>七</w:t>
      </w:r>
      <w:r>
        <w:rPr>
          <w:rFonts w:ascii="Times New Roman" w:hAnsi="Times New Roman" w:eastAsia="仿宋" w:cs="Times New Roman"/>
          <w:b/>
          <w:sz w:val="28"/>
          <w:szCs w:val="28"/>
        </w:rPr>
        <w:t>、将导致投标被拒绝或无效的情形</w:t>
      </w:r>
    </w:p>
    <w:tbl>
      <w:tblPr>
        <w:tblStyle w:val="16"/>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6946"/>
        <w:gridCol w:w="1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7" w:type="dxa"/>
            <w:shd w:val="clear" w:color="auto" w:fill="auto"/>
            <w:noWrap/>
            <w:vAlign w:val="center"/>
          </w:tcPr>
          <w:p>
            <w:pPr>
              <w:spacing w:line="360" w:lineRule="auto"/>
              <w:jc w:val="center"/>
              <w:rPr>
                <w:rFonts w:ascii="Times New Roman" w:hAnsi="Times New Roman" w:eastAsia="仿宋" w:cs="Times New Roman"/>
                <w:b/>
                <w:sz w:val="24"/>
                <w:szCs w:val="24"/>
              </w:rPr>
            </w:pPr>
            <w:r>
              <w:rPr>
                <w:rFonts w:ascii="Times New Roman" w:hAnsi="Times New Roman" w:eastAsia="仿宋" w:cs="Times New Roman"/>
                <w:b/>
                <w:sz w:val="24"/>
                <w:szCs w:val="24"/>
              </w:rPr>
              <w:t>序号</w:t>
            </w:r>
          </w:p>
        </w:tc>
        <w:tc>
          <w:tcPr>
            <w:tcW w:w="6946" w:type="dxa"/>
            <w:shd w:val="clear" w:color="auto" w:fill="auto"/>
            <w:noWrap/>
            <w:vAlign w:val="center"/>
          </w:tcPr>
          <w:p>
            <w:pPr>
              <w:spacing w:line="360" w:lineRule="auto"/>
              <w:jc w:val="center"/>
              <w:rPr>
                <w:rFonts w:ascii="Times New Roman" w:hAnsi="Times New Roman" w:eastAsia="仿宋" w:cs="Times New Roman"/>
                <w:b/>
                <w:sz w:val="24"/>
                <w:szCs w:val="24"/>
              </w:rPr>
            </w:pPr>
            <w:r>
              <w:rPr>
                <w:rFonts w:ascii="Times New Roman" w:hAnsi="Times New Roman" w:eastAsia="仿宋" w:cs="Times New Roman"/>
                <w:b/>
                <w:sz w:val="24"/>
                <w:szCs w:val="24"/>
              </w:rPr>
              <w:t>情形</w:t>
            </w:r>
          </w:p>
        </w:tc>
        <w:tc>
          <w:tcPr>
            <w:tcW w:w="1523" w:type="dxa"/>
            <w:shd w:val="clear" w:color="auto" w:fill="auto"/>
            <w:noWrap/>
            <w:vAlign w:val="center"/>
          </w:tcPr>
          <w:p>
            <w:pPr>
              <w:spacing w:line="360" w:lineRule="auto"/>
              <w:jc w:val="center"/>
              <w:rPr>
                <w:rFonts w:ascii="Times New Roman" w:hAnsi="Times New Roman" w:eastAsia="仿宋" w:cs="Times New Roman"/>
                <w:b/>
                <w:sz w:val="24"/>
                <w:szCs w:val="24"/>
              </w:rPr>
            </w:pPr>
            <w:r>
              <w:rPr>
                <w:rFonts w:ascii="Times New Roman" w:hAnsi="Times New Roman" w:eastAsia="仿宋" w:cs="Times New Roman"/>
                <w:b/>
                <w:sz w:val="24"/>
                <w:szCs w:val="24"/>
              </w:rPr>
              <w:t>处理结果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1</w:t>
            </w:r>
          </w:p>
        </w:tc>
        <w:tc>
          <w:tcPr>
            <w:tcW w:w="6946" w:type="dxa"/>
            <w:shd w:val="clear" w:color="auto" w:fill="auto"/>
            <w:noWrap/>
            <w:vAlign w:val="center"/>
          </w:tcPr>
          <w:p>
            <w:pPr>
              <w:spacing w:line="360" w:lineRule="auto"/>
              <w:rPr>
                <w:rFonts w:ascii="Times New Roman" w:hAnsi="Times New Roman" w:eastAsia="仿宋" w:cs="Times New Roman"/>
                <w:sz w:val="24"/>
                <w:szCs w:val="24"/>
              </w:rPr>
            </w:pPr>
            <w:r>
              <w:rPr>
                <w:rFonts w:ascii="Times New Roman" w:hAnsi="Times New Roman" w:eastAsia="仿宋" w:cs="Times New Roman"/>
                <w:sz w:val="24"/>
                <w:szCs w:val="24"/>
              </w:rPr>
              <w:t>投标人未按照招标文件约定的方式获取招标文件</w:t>
            </w:r>
          </w:p>
        </w:tc>
        <w:tc>
          <w:tcPr>
            <w:tcW w:w="1523"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投标被拒绝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2</w:t>
            </w:r>
          </w:p>
        </w:tc>
        <w:tc>
          <w:tcPr>
            <w:tcW w:w="6946" w:type="dxa"/>
            <w:shd w:val="clear" w:color="auto" w:fill="auto"/>
            <w:noWrap/>
            <w:vAlign w:val="center"/>
          </w:tcPr>
          <w:p>
            <w:pPr>
              <w:spacing w:line="360" w:lineRule="auto"/>
              <w:rPr>
                <w:rFonts w:ascii="Times New Roman" w:hAnsi="Times New Roman" w:eastAsia="仿宋" w:cs="Times New Roman"/>
                <w:sz w:val="24"/>
                <w:szCs w:val="24"/>
              </w:rPr>
            </w:pPr>
            <w:r>
              <w:rPr>
                <w:rFonts w:ascii="Times New Roman" w:hAnsi="Times New Roman" w:eastAsia="仿宋" w:cs="Times New Roman"/>
                <w:sz w:val="24"/>
                <w:szCs w:val="24"/>
              </w:rPr>
              <w:t>投标人未在投标截止时间前有效提交投标文件</w:t>
            </w:r>
          </w:p>
        </w:tc>
        <w:tc>
          <w:tcPr>
            <w:tcW w:w="1523"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投标被拒绝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3</w:t>
            </w:r>
          </w:p>
        </w:tc>
        <w:tc>
          <w:tcPr>
            <w:tcW w:w="6946" w:type="dxa"/>
            <w:shd w:val="clear" w:color="auto" w:fill="auto"/>
            <w:noWrap/>
            <w:vAlign w:val="center"/>
          </w:tcPr>
          <w:p>
            <w:pPr>
              <w:spacing w:line="360" w:lineRule="auto"/>
              <w:rPr>
                <w:rFonts w:ascii="Times New Roman" w:hAnsi="Times New Roman" w:eastAsia="仿宋" w:cs="Times New Roman"/>
                <w:sz w:val="24"/>
                <w:szCs w:val="24"/>
              </w:rPr>
            </w:pPr>
            <w:r>
              <w:rPr>
                <w:rFonts w:ascii="Times New Roman" w:hAnsi="Times New Roman" w:eastAsia="仿宋" w:cs="Times New Roman"/>
                <w:sz w:val="24"/>
                <w:szCs w:val="24"/>
              </w:rPr>
              <w:t>投标文件的资格部分未通过资格审查</w:t>
            </w:r>
          </w:p>
        </w:tc>
        <w:tc>
          <w:tcPr>
            <w:tcW w:w="1523"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不得评标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4</w:t>
            </w:r>
          </w:p>
        </w:tc>
        <w:tc>
          <w:tcPr>
            <w:tcW w:w="6946" w:type="dxa"/>
            <w:shd w:val="clear" w:color="auto" w:fill="auto"/>
            <w:noWrap/>
            <w:vAlign w:val="center"/>
          </w:tcPr>
          <w:p>
            <w:pPr>
              <w:spacing w:line="360" w:lineRule="auto"/>
              <w:rPr>
                <w:rFonts w:ascii="Times New Roman" w:hAnsi="Times New Roman" w:eastAsia="仿宋" w:cs="Times New Roman"/>
                <w:sz w:val="24"/>
                <w:szCs w:val="24"/>
              </w:rPr>
            </w:pPr>
            <w:r>
              <w:rPr>
                <w:rFonts w:ascii="Times New Roman" w:hAnsi="Times New Roman" w:eastAsia="仿宋" w:cs="Times New Roman"/>
                <w:sz w:val="24"/>
                <w:szCs w:val="24"/>
              </w:rPr>
              <w:t>投标人单独制作或封装于投标文件正本内的“开标一览表”不是原件的</w:t>
            </w:r>
          </w:p>
          <w:p>
            <w:pPr>
              <w:spacing w:line="360" w:lineRule="auto"/>
              <w:rPr>
                <w:rFonts w:ascii="Times New Roman" w:hAnsi="Times New Roman" w:eastAsia="仿宋" w:cs="Times New Roman"/>
                <w:sz w:val="24"/>
                <w:szCs w:val="24"/>
              </w:rPr>
            </w:pPr>
          </w:p>
        </w:tc>
        <w:tc>
          <w:tcPr>
            <w:tcW w:w="1523"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5</w:t>
            </w:r>
          </w:p>
        </w:tc>
        <w:tc>
          <w:tcPr>
            <w:tcW w:w="6946" w:type="dxa"/>
            <w:shd w:val="clear" w:color="auto" w:fill="auto"/>
            <w:noWrap/>
            <w:vAlign w:val="center"/>
          </w:tcPr>
          <w:p>
            <w:pPr>
              <w:spacing w:line="360" w:lineRule="auto"/>
              <w:rPr>
                <w:rFonts w:ascii="Times New Roman" w:hAnsi="Times New Roman" w:eastAsia="仿宋" w:cs="Times New Roman"/>
                <w:sz w:val="24"/>
                <w:szCs w:val="24"/>
              </w:rPr>
            </w:pPr>
            <w:r>
              <w:rPr>
                <w:rFonts w:ascii="Times New Roman" w:hAnsi="Times New Roman" w:eastAsia="仿宋" w:cs="Times New Roman"/>
                <w:sz w:val="24"/>
                <w:szCs w:val="24"/>
              </w:rPr>
              <w:t>投标人的报价超过了采购预算或本项目的最高限价的</w:t>
            </w:r>
          </w:p>
        </w:tc>
        <w:tc>
          <w:tcPr>
            <w:tcW w:w="1523"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6</w:t>
            </w:r>
          </w:p>
        </w:tc>
        <w:tc>
          <w:tcPr>
            <w:tcW w:w="6946" w:type="dxa"/>
            <w:shd w:val="clear" w:color="auto" w:fill="auto"/>
            <w:noWrap/>
            <w:vAlign w:val="center"/>
          </w:tcPr>
          <w:p>
            <w:pPr>
              <w:spacing w:line="360" w:lineRule="auto"/>
              <w:rPr>
                <w:rFonts w:ascii="Times New Roman" w:hAnsi="Times New Roman" w:eastAsia="仿宋" w:cs="Times New Roman"/>
                <w:sz w:val="24"/>
                <w:szCs w:val="24"/>
              </w:rPr>
            </w:pPr>
            <w:r>
              <w:rPr>
                <w:rFonts w:ascii="Times New Roman" w:hAnsi="Times New Roman" w:eastAsia="仿宋" w:cs="Times New Roman"/>
                <w:sz w:val="24"/>
                <w:szCs w:val="24"/>
              </w:rPr>
              <w:t>供应商报价低于本项目最高限价的50%，或者低于其他有效供应商报价算术平均价的40%，有可能影响采购项目的实施质量或者不能诚信履约的，供应商按评标委员会要求作出的澄清、说明、补正材料未获评标委员会采信的</w:t>
            </w:r>
          </w:p>
        </w:tc>
        <w:tc>
          <w:tcPr>
            <w:tcW w:w="1523"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7</w:t>
            </w:r>
          </w:p>
        </w:tc>
        <w:tc>
          <w:tcPr>
            <w:tcW w:w="6946" w:type="dxa"/>
            <w:shd w:val="clear" w:color="auto" w:fill="auto"/>
            <w:noWrap/>
            <w:vAlign w:val="center"/>
          </w:tcPr>
          <w:p>
            <w:pPr>
              <w:spacing w:line="360" w:lineRule="auto"/>
              <w:rPr>
                <w:rFonts w:ascii="Times New Roman" w:hAnsi="Times New Roman" w:eastAsia="仿宋" w:cs="Times New Roman"/>
                <w:sz w:val="24"/>
                <w:szCs w:val="24"/>
              </w:rPr>
            </w:pPr>
            <w:r>
              <w:rPr>
                <w:rFonts w:ascii="Times New Roman" w:hAnsi="Times New Roman" w:eastAsia="仿宋" w:cs="Times New Roman"/>
                <w:sz w:val="24"/>
                <w:szCs w:val="24"/>
              </w:rPr>
              <w:t>投标人不符合招标文件第二章“充分、公平竞争保障措施”的</w:t>
            </w:r>
          </w:p>
        </w:tc>
        <w:tc>
          <w:tcPr>
            <w:tcW w:w="1523"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8</w:t>
            </w:r>
          </w:p>
        </w:tc>
        <w:tc>
          <w:tcPr>
            <w:tcW w:w="6946" w:type="dxa"/>
            <w:shd w:val="clear" w:color="auto" w:fill="auto"/>
            <w:noWrap/>
            <w:vAlign w:val="center"/>
          </w:tcPr>
          <w:p>
            <w:pPr>
              <w:spacing w:line="360" w:lineRule="auto"/>
              <w:rPr>
                <w:rFonts w:ascii="Times New Roman" w:hAnsi="Times New Roman" w:eastAsia="仿宋" w:cs="Times New Roman"/>
                <w:sz w:val="24"/>
                <w:szCs w:val="24"/>
              </w:rPr>
            </w:pPr>
            <w:r>
              <w:rPr>
                <w:rFonts w:ascii="Times New Roman" w:hAnsi="Times New Roman" w:eastAsia="仿宋" w:cs="Times New Roman"/>
                <w:sz w:val="24"/>
                <w:szCs w:val="24"/>
              </w:rPr>
              <w:t>投标人对同一标的存在不同的报价，且在本项目报价修正规定之外的</w:t>
            </w:r>
          </w:p>
        </w:tc>
        <w:tc>
          <w:tcPr>
            <w:tcW w:w="1523"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9</w:t>
            </w:r>
          </w:p>
        </w:tc>
        <w:tc>
          <w:tcPr>
            <w:tcW w:w="6946" w:type="dxa"/>
            <w:shd w:val="clear" w:color="auto" w:fill="auto"/>
            <w:noWrap/>
            <w:vAlign w:val="center"/>
          </w:tcPr>
          <w:p>
            <w:pPr>
              <w:spacing w:line="360" w:lineRule="auto"/>
              <w:rPr>
                <w:rFonts w:ascii="Times New Roman" w:hAnsi="Times New Roman" w:eastAsia="仿宋" w:cs="Times New Roman"/>
                <w:sz w:val="24"/>
                <w:szCs w:val="24"/>
              </w:rPr>
            </w:pPr>
            <w:r>
              <w:rPr>
                <w:rFonts w:ascii="Times New Roman" w:hAnsi="Times New Roman" w:eastAsia="仿宋" w:cs="Times New Roman"/>
                <w:sz w:val="24"/>
                <w:szCs w:val="24"/>
              </w:rPr>
              <w:t>投标报价不是固定不变的，包含有选择或可调整的报价</w:t>
            </w:r>
          </w:p>
        </w:tc>
        <w:tc>
          <w:tcPr>
            <w:tcW w:w="1523"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10</w:t>
            </w:r>
          </w:p>
        </w:tc>
        <w:tc>
          <w:tcPr>
            <w:tcW w:w="6946" w:type="dxa"/>
            <w:shd w:val="clear" w:color="auto" w:fill="auto"/>
            <w:noWrap/>
            <w:vAlign w:val="center"/>
          </w:tcPr>
          <w:p>
            <w:pPr>
              <w:spacing w:line="360" w:lineRule="auto"/>
              <w:rPr>
                <w:rFonts w:ascii="Times New Roman" w:hAnsi="Times New Roman" w:eastAsia="仿宋" w:cs="Times New Roman"/>
                <w:sz w:val="24"/>
                <w:szCs w:val="24"/>
              </w:rPr>
            </w:pPr>
            <w:r>
              <w:rPr>
                <w:rFonts w:ascii="Times New Roman" w:hAnsi="Times New Roman" w:eastAsia="仿宋" w:cs="Times New Roman"/>
                <w:sz w:val="24"/>
                <w:szCs w:val="24"/>
              </w:rPr>
              <w:t>投标人报价被修正，但投标人不予确认</w:t>
            </w:r>
          </w:p>
        </w:tc>
        <w:tc>
          <w:tcPr>
            <w:tcW w:w="1523"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11</w:t>
            </w:r>
          </w:p>
        </w:tc>
        <w:tc>
          <w:tcPr>
            <w:tcW w:w="6946" w:type="dxa"/>
            <w:shd w:val="clear" w:color="auto" w:fill="auto"/>
            <w:noWrap/>
            <w:vAlign w:val="center"/>
          </w:tcPr>
          <w:p>
            <w:pPr>
              <w:spacing w:line="360" w:lineRule="auto"/>
              <w:rPr>
                <w:rFonts w:ascii="Times New Roman" w:hAnsi="Times New Roman" w:eastAsia="仿宋" w:cs="Times New Roman"/>
                <w:sz w:val="24"/>
                <w:szCs w:val="24"/>
              </w:rPr>
            </w:pPr>
            <w:r>
              <w:rPr>
                <w:rFonts w:ascii="Times New Roman" w:hAnsi="Times New Roman" w:eastAsia="仿宋" w:cs="Times New Roman"/>
                <w:sz w:val="24"/>
                <w:szCs w:val="24"/>
              </w:rPr>
              <w:t>采购项目不允许分包、转包，投标人在投标文件中载明了将政府采购合同约定的部分工作交由他人完成的</w:t>
            </w:r>
          </w:p>
        </w:tc>
        <w:tc>
          <w:tcPr>
            <w:tcW w:w="1523"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12</w:t>
            </w:r>
          </w:p>
        </w:tc>
        <w:tc>
          <w:tcPr>
            <w:tcW w:w="6946" w:type="dxa"/>
            <w:shd w:val="clear" w:color="auto" w:fill="auto"/>
            <w:noWrap/>
            <w:vAlign w:val="center"/>
          </w:tcPr>
          <w:p>
            <w:pPr>
              <w:spacing w:line="360" w:lineRule="auto"/>
              <w:rPr>
                <w:rFonts w:ascii="Times New Roman" w:hAnsi="Times New Roman" w:eastAsia="仿宋" w:cs="Times New Roman"/>
                <w:sz w:val="24"/>
                <w:szCs w:val="24"/>
              </w:rPr>
            </w:pPr>
            <w:r>
              <w:rPr>
                <w:rFonts w:ascii="Times New Roman" w:hAnsi="Times New Roman" w:eastAsia="仿宋" w:cs="Times New Roman"/>
                <w:sz w:val="24"/>
                <w:szCs w:val="24"/>
              </w:rPr>
              <w:t>投标文件正副本数量不足的</w:t>
            </w:r>
          </w:p>
        </w:tc>
        <w:tc>
          <w:tcPr>
            <w:tcW w:w="1523"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13</w:t>
            </w:r>
          </w:p>
        </w:tc>
        <w:tc>
          <w:tcPr>
            <w:tcW w:w="6946" w:type="dxa"/>
            <w:shd w:val="clear" w:color="auto" w:fill="auto"/>
            <w:noWrap/>
            <w:vAlign w:val="center"/>
          </w:tcPr>
          <w:p>
            <w:pPr>
              <w:spacing w:line="360" w:lineRule="auto"/>
              <w:rPr>
                <w:rFonts w:ascii="Times New Roman" w:hAnsi="Times New Roman" w:eastAsia="仿宋" w:cs="Times New Roman"/>
                <w:sz w:val="24"/>
                <w:szCs w:val="24"/>
              </w:rPr>
            </w:pPr>
            <w:r>
              <w:rPr>
                <w:rFonts w:ascii="Times New Roman" w:hAnsi="Times New Roman" w:eastAsia="仿宋" w:cs="Times New Roman"/>
                <w:sz w:val="24"/>
                <w:szCs w:val="24"/>
              </w:rPr>
              <w:t>投标文件组成明显不符合招标文件的规定要求，影响评标委员会评判的</w:t>
            </w:r>
          </w:p>
        </w:tc>
        <w:tc>
          <w:tcPr>
            <w:tcW w:w="1523"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14</w:t>
            </w:r>
          </w:p>
        </w:tc>
        <w:tc>
          <w:tcPr>
            <w:tcW w:w="6946" w:type="dxa"/>
            <w:shd w:val="clear" w:color="auto" w:fill="auto"/>
            <w:noWrap/>
            <w:vAlign w:val="center"/>
          </w:tcPr>
          <w:p>
            <w:pPr>
              <w:spacing w:line="360" w:lineRule="auto"/>
              <w:rPr>
                <w:rFonts w:ascii="Times New Roman" w:hAnsi="Times New Roman" w:eastAsia="仿宋" w:cs="Times New Roman"/>
                <w:sz w:val="24"/>
                <w:szCs w:val="24"/>
              </w:rPr>
            </w:pPr>
            <w:r>
              <w:rPr>
                <w:rFonts w:ascii="Times New Roman" w:hAnsi="Times New Roman" w:eastAsia="仿宋" w:cs="Times New Roman"/>
                <w:sz w:val="24"/>
                <w:szCs w:val="24"/>
              </w:rPr>
              <w:t>投标文件的语言、计量单位、报价货币、知识产权、投标有效期等不符合招标文件的规定</w:t>
            </w:r>
          </w:p>
        </w:tc>
        <w:tc>
          <w:tcPr>
            <w:tcW w:w="1523"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15</w:t>
            </w:r>
          </w:p>
        </w:tc>
        <w:tc>
          <w:tcPr>
            <w:tcW w:w="6946" w:type="dxa"/>
            <w:shd w:val="clear" w:color="auto" w:fill="auto"/>
            <w:noWrap/>
            <w:vAlign w:val="center"/>
          </w:tcPr>
          <w:p>
            <w:pPr>
              <w:spacing w:line="360" w:lineRule="auto"/>
              <w:rPr>
                <w:rFonts w:ascii="Times New Roman" w:hAnsi="Times New Roman" w:eastAsia="仿宋" w:cs="Times New Roman"/>
                <w:sz w:val="24"/>
                <w:szCs w:val="24"/>
              </w:rPr>
            </w:pPr>
            <w:r>
              <w:rPr>
                <w:rFonts w:ascii="Times New Roman" w:hAnsi="Times New Roman" w:eastAsia="仿宋" w:cs="Times New Roman"/>
                <w:sz w:val="24"/>
                <w:szCs w:val="24"/>
              </w:rPr>
              <w:t>招标文件提出了实质性格式，但投标文件未予遵照的</w:t>
            </w:r>
          </w:p>
        </w:tc>
        <w:tc>
          <w:tcPr>
            <w:tcW w:w="1523"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16</w:t>
            </w:r>
          </w:p>
        </w:tc>
        <w:tc>
          <w:tcPr>
            <w:tcW w:w="6946" w:type="dxa"/>
            <w:shd w:val="clear" w:color="auto" w:fill="auto"/>
            <w:noWrap/>
            <w:vAlign w:val="center"/>
          </w:tcPr>
          <w:p>
            <w:pPr>
              <w:spacing w:line="360" w:lineRule="auto"/>
              <w:rPr>
                <w:rFonts w:ascii="Times New Roman" w:hAnsi="Times New Roman" w:eastAsia="仿宋" w:cs="Times New Roman"/>
                <w:sz w:val="24"/>
                <w:szCs w:val="24"/>
              </w:rPr>
            </w:pPr>
            <w:r>
              <w:rPr>
                <w:rFonts w:ascii="Times New Roman" w:hAnsi="Times New Roman" w:eastAsia="仿宋" w:cs="Times New Roman"/>
                <w:sz w:val="24"/>
                <w:szCs w:val="24"/>
              </w:rPr>
              <w:t>投标文件技术服务、商务应答内容没有完全响应招标文件的实质性要求的</w:t>
            </w:r>
          </w:p>
        </w:tc>
        <w:tc>
          <w:tcPr>
            <w:tcW w:w="1523"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17</w:t>
            </w:r>
          </w:p>
        </w:tc>
        <w:tc>
          <w:tcPr>
            <w:tcW w:w="6946" w:type="dxa"/>
            <w:shd w:val="clear" w:color="auto" w:fill="auto"/>
            <w:noWrap/>
            <w:vAlign w:val="center"/>
          </w:tcPr>
          <w:p>
            <w:pPr>
              <w:spacing w:line="360" w:lineRule="auto"/>
              <w:rPr>
                <w:rFonts w:ascii="Times New Roman" w:hAnsi="Times New Roman" w:eastAsia="仿宋" w:cs="Times New Roman"/>
                <w:sz w:val="24"/>
                <w:szCs w:val="24"/>
              </w:rPr>
            </w:pPr>
            <w:r>
              <w:rPr>
                <w:rFonts w:ascii="Times New Roman" w:hAnsi="Times New Roman" w:eastAsia="仿宋" w:cs="Times New Roman"/>
                <w:sz w:val="24"/>
                <w:szCs w:val="24"/>
              </w:rPr>
              <w:t>投标文件未载明或者载明的采购项目履约时间、方式、数量与招标文件要求不一致的</w:t>
            </w:r>
          </w:p>
        </w:tc>
        <w:tc>
          <w:tcPr>
            <w:tcW w:w="1523"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18</w:t>
            </w:r>
          </w:p>
        </w:tc>
        <w:tc>
          <w:tcPr>
            <w:tcW w:w="6946" w:type="dxa"/>
            <w:shd w:val="clear" w:color="auto" w:fill="auto"/>
            <w:noWrap/>
            <w:vAlign w:val="center"/>
          </w:tcPr>
          <w:p>
            <w:pPr>
              <w:spacing w:line="360" w:lineRule="auto"/>
              <w:rPr>
                <w:rFonts w:ascii="Times New Roman" w:hAnsi="Times New Roman" w:eastAsia="仿宋" w:cs="Times New Roman"/>
                <w:sz w:val="24"/>
                <w:szCs w:val="24"/>
              </w:rPr>
            </w:pPr>
            <w:r>
              <w:rPr>
                <w:rFonts w:ascii="Times New Roman" w:hAnsi="Times New Roman" w:eastAsia="仿宋" w:cs="Times New Roman"/>
                <w:sz w:val="24"/>
                <w:szCs w:val="24"/>
              </w:rPr>
              <w:t>投标文件附有采购人不能接受的条件或者不符合招标文件规定的其他实质性要求</w:t>
            </w:r>
          </w:p>
        </w:tc>
        <w:tc>
          <w:tcPr>
            <w:tcW w:w="1523"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19</w:t>
            </w:r>
          </w:p>
        </w:tc>
        <w:tc>
          <w:tcPr>
            <w:tcW w:w="6946" w:type="dxa"/>
            <w:shd w:val="clear" w:color="auto" w:fill="auto"/>
            <w:noWrap/>
            <w:vAlign w:val="center"/>
          </w:tcPr>
          <w:p>
            <w:pPr>
              <w:spacing w:line="360" w:lineRule="auto"/>
              <w:rPr>
                <w:rFonts w:ascii="Times New Roman" w:hAnsi="Times New Roman" w:eastAsia="仿宋" w:cs="Times New Roman"/>
                <w:sz w:val="24"/>
                <w:szCs w:val="24"/>
              </w:rPr>
            </w:pPr>
            <w:r>
              <w:rPr>
                <w:rFonts w:ascii="Times New Roman" w:hAnsi="Times New Roman" w:eastAsia="仿宋" w:cs="Times New Roman"/>
                <w:sz w:val="24"/>
                <w:szCs w:val="24"/>
              </w:rPr>
              <w:t>投标文件对非实质性要求的响应负偏离过大，评标委员会认为实质性影响项目实施的</w:t>
            </w:r>
          </w:p>
        </w:tc>
        <w:tc>
          <w:tcPr>
            <w:tcW w:w="1523"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noWrap/>
            <w:vAlign w:val="center"/>
          </w:tcPr>
          <w:p>
            <w:pPr>
              <w:spacing w:line="360" w:lineRule="auto"/>
              <w:jc w:val="center"/>
              <w:rPr>
                <w:rFonts w:hint="eastAsia" w:ascii="Times New Roman" w:hAnsi="Times New Roman" w:eastAsia="仿宋" w:cs="Times New Roman"/>
                <w:sz w:val="24"/>
                <w:szCs w:val="24"/>
                <w:lang w:eastAsia="zh-CN"/>
              </w:rPr>
            </w:pPr>
            <w:r>
              <w:rPr>
                <w:rFonts w:ascii="Times New Roman" w:hAnsi="Times New Roman" w:eastAsia="仿宋" w:cs="Times New Roman"/>
                <w:sz w:val="24"/>
                <w:szCs w:val="24"/>
              </w:rPr>
              <w:t>2</w:t>
            </w:r>
            <w:r>
              <w:rPr>
                <w:rFonts w:hint="eastAsia" w:ascii="Times New Roman" w:hAnsi="Times New Roman" w:eastAsia="仿宋" w:cs="Times New Roman"/>
                <w:sz w:val="24"/>
                <w:szCs w:val="24"/>
                <w:lang w:val="en-US" w:eastAsia="zh-CN"/>
              </w:rPr>
              <w:t>0</w:t>
            </w:r>
          </w:p>
        </w:tc>
        <w:tc>
          <w:tcPr>
            <w:tcW w:w="6946" w:type="dxa"/>
            <w:shd w:val="clear" w:color="auto" w:fill="auto"/>
            <w:noWrap/>
            <w:vAlign w:val="center"/>
          </w:tcPr>
          <w:p>
            <w:pPr>
              <w:spacing w:line="360" w:lineRule="auto"/>
              <w:rPr>
                <w:rFonts w:ascii="Times New Roman" w:hAnsi="Times New Roman" w:eastAsia="仿宋" w:cs="Times New Roman"/>
                <w:sz w:val="24"/>
                <w:szCs w:val="24"/>
              </w:rPr>
            </w:pPr>
            <w:r>
              <w:rPr>
                <w:rFonts w:ascii="Times New Roman" w:hAnsi="Times New Roman" w:eastAsia="仿宋" w:cs="Times New Roman"/>
                <w:sz w:val="24"/>
                <w:szCs w:val="24"/>
              </w:rPr>
              <w:t>法律法规、招标文件规定的其他投标无效情形</w:t>
            </w:r>
          </w:p>
        </w:tc>
        <w:tc>
          <w:tcPr>
            <w:tcW w:w="1523" w:type="dxa"/>
            <w:shd w:val="clear" w:color="auto" w:fill="auto"/>
            <w:noWrap/>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投标无效</w:t>
            </w:r>
          </w:p>
        </w:tc>
      </w:tr>
    </w:tbl>
    <w:p>
      <w:pPr>
        <w:spacing w:line="500" w:lineRule="exact"/>
        <w:ind w:firstLine="560" w:firstLineChars="200"/>
        <w:rPr>
          <w:rFonts w:ascii="Times New Roman" w:hAnsi="Times New Roman" w:eastAsia="仿宋" w:cs="Times New Roman"/>
          <w:sz w:val="28"/>
          <w:szCs w:val="28"/>
        </w:rPr>
      </w:pPr>
    </w:p>
    <w:p>
      <w:pPr>
        <w:widowControl/>
        <w:jc w:val="center"/>
        <w:outlineLvl w:val="0"/>
        <w:rPr>
          <w:rFonts w:ascii="Times New Roman" w:hAnsi="Times New Roman" w:cs="Times New Roman"/>
          <w:b/>
          <w:sz w:val="36"/>
          <w:szCs w:val="36"/>
        </w:rPr>
      </w:pPr>
      <w:r>
        <w:rPr>
          <w:rFonts w:ascii="Times New Roman" w:hAnsi="Times New Roman" w:eastAsia="仿宋" w:cs="Times New Roman"/>
        </w:rPr>
        <w:br w:type="page"/>
      </w:r>
      <w:bookmarkStart w:id="7" w:name="_Toc20234160"/>
      <w:r>
        <w:rPr>
          <w:rFonts w:ascii="Times New Roman" w:hAnsi="Times New Roman" w:eastAsia="黑体" w:cs="Times New Roman"/>
          <w:bCs/>
          <w:sz w:val="36"/>
          <w:szCs w:val="32"/>
        </w:rPr>
        <w:t>第三章</w:t>
      </w:r>
      <w:r>
        <w:rPr>
          <w:rFonts w:ascii="Times New Roman" w:hAnsi="Times New Roman" w:eastAsia="黑体" w:cs="Times New Roman"/>
          <w:bCs/>
          <w:sz w:val="36"/>
          <w:szCs w:val="32"/>
        </w:rPr>
        <w:tab/>
      </w:r>
      <w:r>
        <w:rPr>
          <w:rFonts w:ascii="Times New Roman" w:hAnsi="Times New Roman" w:eastAsia="黑体" w:cs="Times New Roman"/>
          <w:bCs/>
          <w:sz w:val="36"/>
          <w:szCs w:val="32"/>
        </w:rPr>
        <w:t>投标文件格式</w:t>
      </w:r>
      <w:bookmarkEnd w:id="7"/>
    </w:p>
    <w:p>
      <w:pPr>
        <w:spacing w:line="500" w:lineRule="exact"/>
        <w:ind w:firstLine="560" w:firstLineChars="200"/>
        <w:rPr>
          <w:rFonts w:ascii="Times New Roman" w:hAnsi="Times New Roman" w:eastAsia="仿宋" w:cs="Times New Roman"/>
          <w:sz w:val="28"/>
          <w:szCs w:val="28"/>
        </w:rPr>
      </w:pPr>
    </w:p>
    <w:p>
      <w:pPr>
        <w:spacing w:line="500" w:lineRule="exact"/>
        <w:jc w:val="center"/>
        <w:rPr>
          <w:rFonts w:ascii="Times New Roman" w:hAnsi="Times New Roman" w:eastAsia="黑体" w:cs="Times New Roman"/>
          <w:bCs/>
          <w:sz w:val="32"/>
          <w:szCs w:val="30"/>
        </w:rPr>
      </w:pPr>
      <w:r>
        <w:rPr>
          <w:rFonts w:ascii="Times New Roman" w:hAnsi="Times New Roman" w:eastAsia="黑体" w:cs="Times New Roman"/>
          <w:bCs/>
          <w:sz w:val="32"/>
          <w:szCs w:val="30"/>
        </w:rPr>
        <w:t>第一部分 投标文件的资格部分</w:t>
      </w:r>
    </w:p>
    <w:p>
      <w:pPr>
        <w:spacing w:line="520" w:lineRule="exact"/>
        <w:ind w:firstLine="562" w:firstLineChars="200"/>
        <w:rPr>
          <w:rFonts w:ascii="Times New Roman" w:hAnsi="Times New Roman" w:eastAsia="仿宋" w:cs="Times New Roman"/>
          <w:b/>
          <w:sz w:val="28"/>
          <w:szCs w:val="28"/>
        </w:rPr>
      </w:pPr>
    </w:p>
    <w:p>
      <w:pPr>
        <w:spacing w:line="520" w:lineRule="exact"/>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一、具有独立承担民事责任的能力的证明材料</w:t>
      </w:r>
    </w:p>
    <w:p>
      <w:pPr>
        <w:spacing w:line="520" w:lineRule="exact"/>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（一）……</w:t>
      </w:r>
    </w:p>
    <w:p>
      <w:pPr>
        <w:spacing w:line="520" w:lineRule="exact"/>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__________________</w:t>
      </w:r>
    </w:p>
    <w:p>
      <w:pPr>
        <w:spacing w:line="520" w:lineRule="exact"/>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w:t>
      </w:r>
    </w:p>
    <w:p>
      <w:pPr>
        <w:spacing w:line="520" w:lineRule="exact"/>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（N）授权委托书（参考格式）</w:t>
      </w:r>
    </w:p>
    <w:p>
      <w:pPr>
        <w:spacing w:line="520" w:lineRule="exact"/>
        <w:rPr>
          <w:rFonts w:ascii="Times New Roman" w:hAnsi="Times New Roman" w:eastAsia="仿宋" w:cs="Times New Roman"/>
          <w:sz w:val="28"/>
          <w:szCs w:val="28"/>
        </w:rPr>
      </w:pPr>
      <w:r>
        <w:rPr>
          <w:rFonts w:hint="eastAsia" w:ascii="Times New Roman" w:hAnsi="Times New Roman" w:eastAsia="仿宋" w:cs="Times New Roman"/>
          <w:sz w:val="28"/>
          <w:szCs w:val="28"/>
          <w:lang w:val="en-US" w:eastAsia="zh-CN"/>
        </w:rPr>
        <w:t>南江农科村镇银行</w:t>
      </w:r>
      <w:r>
        <w:rPr>
          <w:rFonts w:ascii="Times New Roman" w:hAnsi="Times New Roman" w:eastAsia="仿宋" w:cs="Times New Roman"/>
          <w:sz w:val="28"/>
          <w:szCs w:val="28"/>
        </w:rPr>
        <w:t>：</w:t>
      </w:r>
    </w:p>
    <w:p>
      <w:pPr>
        <w:spacing w:line="520" w:lineRule="exact"/>
        <w:ind w:firstLine="627" w:firstLineChars="224"/>
        <w:rPr>
          <w:rFonts w:ascii="Times New Roman" w:hAnsi="Times New Roman" w:eastAsia="仿宋" w:cs="Times New Roman"/>
          <w:sz w:val="28"/>
          <w:szCs w:val="28"/>
        </w:rPr>
      </w:pPr>
      <w:r>
        <w:rPr>
          <w:rFonts w:ascii="Times New Roman" w:hAnsi="Times New Roman" w:eastAsia="仿宋" w:cs="Times New Roman"/>
          <w:sz w:val="28"/>
          <w:szCs w:val="28"/>
        </w:rPr>
        <w:t>兹委托我方</w:t>
      </w:r>
      <w:r>
        <w:rPr>
          <w:rFonts w:ascii="Times New Roman" w:hAnsi="Times New Roman" w:eastAsia="仿宋" w:cs="Times New Roman"/>
          <w:sz w:val="28"/>
          <w:szCs w:val="28"/>
          <w:u w:val="single"/>
        </w:rPr>
        <w:t>（填写姓名及身份证号）</w:t>
      </w:r>
      <w:r>
        <w:rPr>
          <w:rFonts w:ascii="Times New Roman" w:hAnsi="Times New Roman" w:eastAsia="仿宋" w:cs="Times New Roman"/>
          <w:sz w:val="28"/>
          <w:szCs w:val="28"/>
        </w:rPr>
        <w:t>为授权代表，参加</w:t>
      </w:r>
      <w:r>
        <w:rPr>
          <w:rFonts w:ascii="Times New Roman" w:hAnsi="Times New Roman" w:eastAsia="仿宋" w:cs="Times New Roman"/>
          <w:sz w:val="28"/>
          <w:szCs w:val="28"/>
          <w:u w:val="single"/>
        </w:rPr>
        <w:t xml:space="preserve">        </w:t>
      </w:r>
      <w:r>
        <w:rPr>
          <w:rFonts w:ascii="Times New Roman" w:hAnsi="Times New Roman" w:eastAsia="仿宋" w:cs="Times New Roman"/>
          <w:sz w:val="28"/>
          <w:szCs w:val="28"/>
        </w:rPr>
        <w:t>项目（</w:t>
      </w:r>
      <w:r>
        <w:rPr>
          <w:rFonts w:hint="eastAsia" w:ascii="Times New Roman" w:hAnsi="Times New Roman" w:eastAsia="仿宋" w:cs="Times New Roman"/>
          <w:sz w:val="28"/>
          <w:szCs w:val="28"/>
          <w:lang w:val="en-US" w:eastAsia="zh-CN"/>
        </w:rPr>
        <w:t>采购编号：</w:t>
      </w:r>
      <w:r>
        <w:rPr>
          <w:rFonts w:hint="eastAsia" w:ascii="Times New Roman" w:hAnsi="Times New Roman" w:eastAsia="仿宋" w:cs="Times New Roman"/>
          <w:sz w:val="28"/>
          <w:szCs w:val="28"/>
          <w:u w:val="single"/>
          <w:lang w:val="en-US" w:eastAsia="zh-CN"/>
        </w:rPr>
        <w:t xml:space="preserve">    </w:t>
      </w:r>
      <w:r>
        <w:rPr>
          <w:rFonts w:ascii="Times New Roman" w:hAnsi="Times New Roman" w:eastAsia="仿宋" w:cs="Times New Roman"/>
          <w:sz w:val="28"/>
          <w:szCs w:val="28"/>
        </w:rPr>
        <w:t>）的政府采购活动，并全权代表我方处理该项目有关投标、签订合同以及执行合同等一切事宜。</w:t>
      </w:r>
    </w:p>
    <w:p>
      <w:pPr>
        <w:spacing w:line="520" w:lineRule="exact"/>
        <w:ind w:firstLine="627" w:firstLineChars="224"/>
        <w:rPr>
          <w:rFonts w:ascii="Times New Roman" w:hAnsi="Times New Roman" w:eastAsia="仿宋" w:cs="Times New Roman"/>
          <w:sz w:val="28"/>
          <w:szCs w:val="28"/>
        </w:rPr>
      </w:pPr>
      <w:r>
        <w:rPr>
          <w:rFonts w:ascii="Times New Roman" w:hAnsi="Times New Roman" w:eastAsia="仿宋" w:cs="Times New Roman"/>
          <w:sz w:val="28"/>
          <w:szCs w:val="28"/>
        </w:rPr>
        <w:t>授权代表在我方的内部职务是________，其详细通信地址为________，其联系电话为________。</w:t>
      </w:r>
    </w:p>
    <w:p>
      <w:pPr>
        <w:spacing w:line="520" w:lineRule="exact"/>
        <w:ind w:firstLine="627" w:firstLineChars="224"/>
        <w:rPr>
          <w:rFonts w:ascii="Times New Roman" w:hAnsi="Times New Roman" w:eastAsia="仿宋" w:cs="Times New Roman"/>
          <w:sz w:val="28"/>
          <w:szCs w:val="28"/>
        </w:rPr>
      </w:pPr>
      <w:r>
        <w:rPr>
          <w:rFonts w:ascii="Times New Roman" w:hAnsi="Times New Roman" w:eastAsia="仿宋" w:cs="Times New Roman"/>
          <w:sz w:val="28"/>
          <w:szCs w:val="28"/>
        </w:rPr>
        <w:t>授权代表在采购活动中以我方名义签署的一切文书，我方均予以认可，对授权代表的签名负全部责任。</w:t>
      </w:r>
    </w:p>
    <w:p>
      <w:pPr>
        <w:spacing w:line="520" w:lineRule="exact"/>
        <w:ind w:firstLine="627" w:firstLineChars="224"/>
        <w:rPr>
          <w:rFonts w:ascii="Times New Roman" w:hAnsi="Times New Roman" w:eastAsia="仿宋" w:cs="Times New Roman"/>
          <w:sz w:val="28"/>
          <w:szCs w:val="28"/>
        </w:rPr>
      </w:pPr>
    </w:p>
    <w:p>
      <w:pPr>
        <w:spacing w:line="520" w:lineRule="exact"/>
        <w:rPr>
          <w:rFonts w:ascii="Times New Roman" w:hAnsi="Times New Roman" w:eastAsia="仿宋" w:cs="Times New Roman"/>
          <w:sz w:val="28"/>
          <w:szCs w:val="28"/>
        </w:rPr>
      </w:pPr>
      <w:r>
        <w:rPr>
          <w:rFonts w:ascii="Times New Roman" w:hAnsi="Times New Roman" w:eastAsia="仿宋" w:cs="Times New Roman"/>
          <w:sz w:val="28"/>
          <w:szCs w:val="28"/>
        </w:rPr>
        <w:t>委托期限：</w:t>
      </w:r>
      <w:r>
        <w:rPr>
          <w:rFonts w:ascii="Times New Roman" w:hAnsi="Times New Roman" w:eastAsia="仿宋" w:cs="Times New Roman"/>
          <w:sz w:val="28"/>
          <w:szCs w:val="28"/>
          <w:u w:val="single"/>
        </w:rPr>
        <w:t xml:space="preserve">     </w:t>
      </w:r>
      <w:r>
        <w:rPr>
          <w:rFonts w:ascii="Times New Roman" w:hAnsi="Times New Roman" w:eastAsia="仿宋" w:cs="Times New Roman"/>
          <w:sz w:val="28"/>
          <w:szCs w:val="28"/>
        </w:rPr>
        <w:t>年</w:t>
      </w:r>
      <w:r>
        <w:rPr>
          <w:rFonts w:ascii="Times New Roman" w:hAnsi="Times New Roman" w:eastAsia="仿宋" w:cs="Times New Roman"/>
          <w:sz w:val="28"/>
          <w:szCs w:val="28"/>
          <w:u w:val="single"/>
        </w:rPr>
        <w:t xml:space="preserve">   </w:t>
      </w:r>
      <w:r>
        <w:rPr>
          <w:rFonts w:ascii="Times New Roman" w:hAnsi="Times New Roman" w:eastAsia="仿宋" w:cs="Times New Roman"/>
          <w:sz w:val="28"/>
          <w:szCs w:val="28"/>
        </w:rPr>
        <w:t>月</w:t>
      </w:r>
      <w:r>
        <w:rPr>
          <w:rFonts w:ascii="Times New Roman" w:hAnsi="Times New Roman" w:eastAsia="仿宋" w:cs="Times New Roman"/>
          <w:sz w:val="28"/>
          <w:szCs w:val="28"/>
          <w:u w:val="single"/>
        </w:rPr>
        <w:t xml:space="preserve">   </w:t>
      </w:r>
      <w:r>
        <w:rPr>
          <w:rFonts w:ascii="Times New Roman" w:hAnsi="Times New Roman" w:eastAsia="仿宋" w:cs="Times New Roman"/>
          <w:sz w:val="28"/>
          <w:szCs w:val="28"/>
        </w:rPr>
        <w:t>日到</w:t>
      </w:r>
      <w:r>
        <w:rPr>
          <w:rFonts w:ascii="Times New Roman" w:hAnsi="Times New Roman" w:eastAsia="仿宋" w:cs="Times New Roman"/>
          <w:sz w:val="28"/>
          <w:szCs w:val="28"/>
          <w:u w:val="single"/>
        </w:rPr>
        <w:t xml:space="preserve">     </w:t>
      </w:r>
      <w:r>
        <w:rPr>
          <w:rFonts w:ascii="Times New Roman" w:hAnsi="Times New Roman" w:eastAsia="仿宋" w:cs="Times New Roman"/>
          <w:sz w:val="28"/>
          <w:szCs w:val="28"/>
        </w:rPr>
        <w:t>年</w:t>
      </w:r>
      <w:r>
        <w:rPr>
          <w:rFonts w:ascii="Times New Roman" w:hAnsi="Times New Roman" w:eastAsia="仿宋" w:cs="Times New Roman"/>
          <w:sz w:val="28"/>
          <w:szCs w:val="28"/>
          <w:u w:val="single"/>
        </w:rPr>
        <w:t xml:space="preserve">   </w:t>
      </w:r>
      <w:r>
        <w:rPr>
          <w:rFonts w:ascii="Times New Roman" w:hAnsi="Times New Roman" w:eastAsia="仿宋" w:cs="Times New Roman"/>
          <w:sz w:val="28"/>
          <w:szCs w:val="28"/>
        </w:rPr>
        <w:t>月</w:t>
      </w:r>
      <w:r>
        <w:rPr>
          <w:rFonts w:ascii="Times New Roman" w:hAnsi="Times New Roman" w:eastAsia="仿宋" w:cs="Times New Roman"/>
          <w:sz w:val="28"/>
          <w:szCs w:val="28"/>
          <w:u w:val="single"/>
        </w:rPr>
        <w:t xml:space="preserve">   </w:t>
      </w:r>
      <w:r>
        <w:rPr>
          <w:rFonts w:ascii="Times New Roman" w:hAnsi="Times New Roman" w:eastAsia="仿宋" w:cs="Times New Roman"/>
          <w:sz w:val="28"/>
          <w:szCs w:val="28"/>
        </w:rPr>
        <w:t>日止。</w:t>
      </w:r>
    </w:p>
    <w:p>
      <w:pPr>
        <w:spacing w:line="520" w:lineRule="exact"/>
        <w:rPr>
          <w:rFonts w:ascii="Times New Roman" w:hAnsi="Times New Roman" w:eastAsia="仿宋" w:cs="Times New Roman"/>
          <w:sz w:val="28"/>
          <w:szCs w:val="28"/>
        </w:rPr>
      </w:pPr>
    </w:p>
    <w:p>
      <w:pPr>
        <w:spacing w:line="520" w:lineRule="exact"/>
        <w:ind w:firstLine="3640" w:firstLineChars="1300"/>
        <w:rPr>
          <w:rFonts w:ascii="Times New Roman" w:hAnsi="Times New Roman" w:eastAsia="仿宋" w:cs="Times New Roman"/>
          <w:sz w:val="28"/>
          <w:szCs w:val="28"/>
        </w:rPr>
      </w:pPr>
      <w:r>
        <w:rPr>
          <w:rFonts w:ascii="Times New Roman" w:hAnsi="Times New Roman" w:eastAsia="仿宋" w:cs="Times New Roman"/>
          <w:sz w:val="28"/>
          <w:szCs w:val="28"/>
        </w:rPr>
        <w:t>供应商：</w:t>
      </w:r>
      <w:r>
        <w:rPr>
          <w:rFonts w:ascii="Times New Roman" w:hAnsi="Times New Roman" w:eastAsia="仿宋" w:cs="Times New Roman"/>
          <w:sz w:val="28"/>
          <w:szCs w:val="28"/>
          <w:u w:val="single"/>
        </w:rPr>
        <w:t>（名称和加盖公章）</w:t>
      </w:r>
    </w:p>
    <w:p>
      <w:pPr>
        <w:spacing w:line="520" w:lineRule="exact"/>
        <w:ind w:firstLine="3640" w:firstLineChars="1300"/>
        <w:rPr>
          <w:rFonts w:ascii="Times New Roman" w:hAnsi="Times New Roman" w:eastAsia="仿宋" w:cs="Times New Roman"/>
          <w:sz w:val="28"/>
          <w:szCs w:val="28"/>
          <w:u w:val="single"/>
        </w:rPr>
      </w:pPr>
      <w:r>
        <w:rPr>
          <w:rFonts w:ascii="Times New Roman" w:hAnsi="Times New Roman" w:eastAsia="仿宋" w:cs="Times New Roman"/>
          <w:sz w:val="28"/>
          <w:szCs w:val="28"/>
        </w:rPr>
        <w:t>法定代表人：</w:t>
      </w:r>
      <w:r>
        <w:rPr>
          <w:rFonts w:ascii="Times New Roman" w:hAnsi="Times New Roman" w:eastAsia="仿宋" w:cs="Times New Roman"/>
          <w:sz w:val="28"/>
          <w:szCs w:val="28"/>
          <w:u w:val="single"/>
        </w:rPr>
        <w:t>（签字）</w:t>
      </w:r>
    </w:p>
    <w:p>
      <w:pPr>
        <w:spacing w:line="520" w:lineRule="exact"/>
        <w:ind w:firstLine="3640" w:firstLineChars="1300"/>
        <w:rPr>
          <w:rFonts w:ascii="Times New Roman" w:hAnsi="Times New Roman" w:eastAsia="仿宋" w:cs="Times New Roman"/>
          <w:sz w:val="28"/>
          <w:szCs w:val="28"/>
          <w:u w:val="single"/>
        </w:rPr>
      </w:pPr>
      <w:r>
        <w:rPr>
          <w:rFonts w:ascii="Times New Roman" w:hAnsi="Times New Roman" w:eastAsia="仿宋" w:cs="Times New Roman"/>
          <w:sz w:val="28"/>
          <w:szCs w:val="28"/>
        </w:rPr>
        <w:t>授权代表：</w:t>
      </w:r>
      <w:r>
        <w:rPr>
          <w:rFonts w:ascii="Times New Roman" w:hAnsi="Times New Roman" w:eastAsia="仿宋" w:cs="Times New Roman"/>
          <w:sz w:val="28"/>
          <w:szCs w:val="28"/>
          <w:u w:val="single"/>
        </w:rPr>
        <w:t>（签字）</w:t>
      </w:r>
    </w:p>
    <w:p>
      <w:pPr>
        <w:spacing w:line="520" w:lineRule="exact"/>
        <w:ind w:firstLine="3640" w:firstLineChars="1300"/>
        <w:rPr>
          <w:rFonts w:ascii="Times New Roman" w:hAnsi="Times New Roman" w:eastAsia="仿宋" w:cs="Times New Roman"/>
          <w:sz w:val="28"/>
          <w:szCs w:val="28"/>
        </w:rPr>
      </w:pPr>
    </w:p>
    <w:p>
      <w:pPr>
        <w:spacing w:line="520" w:lineRule="exact"/>
        <w:jc w:val="right"/>
        <w:rPr>
          <w:rFonts w:ascii="Times New Roman" w:hAnsi="Times New Roman" w:eastAsia="仿宋" w:cs="Times New Roman"/>
          <w:sz w:val="28"/>
          <w:szCs w:val="28"/>
        </w:rPr>
      </w:pPr>
      <w:r>
        <w:rPr>
          <w:rFonts w:ascii="Times New Roman" w:hAnsi="Times New Roman" w:eastAsia="仿宋" w:cs="Times New Roman"/>
          <w:sz w:val="28"/>
          <w:szCs w:val="28"/>
        </w:rPr>
        <w:t>______年___月___日</w:t>
      </w:r>
    </w:p>
    <w:p>
      <w:pPr>
        <w:spacing w:line="520" w:lineRule="exact"/>
        <w:rPr>
          <w:rFonts w:ascii="Times New Roman" w:hAnsi="Times New Roman" w:eastAsia="仿宋" w:cs="Times New Roman"/>
          <w:sz w:val="28"/>
          <w:szCs w:val="28"/>
        </w:rPr>
      </w:pPr>
    </w:p>
    <w:p>
      <w:pPr>
        <w:spacing w:line="520" w:lineRule="exact"/>
        <w:rPr>
          <w:rFonts w:ascii="Times New Roman" w:hAnsi="Times New Roman" w:eastAsia="仿宋" w:cs="Times New Roman"/>
          <w:sz w:val="28"/>
          <w:szCs w:val="28"/>
        </w:rPr>
      </w:pPr>
      <w:r>
        <w:rPr>
          <w:rFonts w:ascii="Times New Roman" w:hAnsi="Times New Roman" w:eastAsia="仿宋" w:cs="Times New Roman"/>
          <w:sz w:val="28"/>
          <w:szCs w:val="28"/>
        </w:rPr>
        <w:t>附：授权代表身份证</w:t>
      </w:r>
    </w:p>
    <w:p>
      <w:pPr>
        <w:spacing w:line="520" w:lineRule="exact"/>
        <w:rPr>
          <w:rFonts w:ascii="Times New Roman" w:hAnsi="Times New Roman" w:eastAsia="仿宋" w:cs="Times New Roman"/>
          <w:sz w:val="28"/>
          <w:szCs w:val="28"/>
        </w:rPr>
      </w:pPr>
      <w:r>
        <w:rPr>
          <w:rFonts w:ascii="Times New Roman" w:hAnsi="Times New Roman" w:eastAsia="仿宋" w:cs="Times New Roman"/>
          <w:sz w:val="28"/>
          <w:szCs w:val="28"/>
        </w:rPr>
        <w:t>________________</w:t>
      </w:r>
    </w:p>
    <w:p>
      <w:pPr>
        <w:spacing w:line="520" w:lineRule="exact"/>
        <w:ind w:firstLine="560" w:firstLineChars="200"/>
        <w:rPr>
          <w:rFonts w:ascii="Times New Roman" w:hAnsi="Times New Roman" w:eastAsia="仿宋" w:cs="Times New Roman"/>
          <w:sz w:val="28"/>
          <w:szCs w:val="28"/>
        </w:rPr>
      </w:pPr>
    </w:p>
    <w:p>
      <w:pPr>
        <w:spacing w:line="520" w:lineRule="exact"/>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二、具有良好的商业信誉和健全的财务会计制度</w:t>
      </w:r>
    </w:p>
    <w:p>
      <w:pPr>
        <w:spacing w:line="520" w:lineRule="exact"/>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__________________</w:t>
      </w:r>
    </w:p>
    <w:p>
      <w:pPr>
        <w:spacing w:line="520" w:lineRule="exact"/>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三、具有履行合同所必需的设备和专业技术能力</w:t>
      </w:r>
    </w:p>
    <w:p>
      <w:pPr>
        <w:spacing w:line="520" w:lineRule="exact"/>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__________________</w:t>
      </w:r>
    </w:p>
    <w:p>
      <w:pPr>
        <w:spacing w:line="520" w:lineRule="exact"/>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四、有依法缴纳税收和社会保障资金的良好记录</w:t>
      </w:r>
    </w:p>
    <w:p>
      <w:pPr>
        <w:spacing w:line="520" w:lineRule="exact"/>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__________________</w:t>
      </w:r>
    </w:p>
    <w:p>
      <w:pPr>
        <w:spacing w:line="520" w:lineRule="exact"/>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五、参加本次采购活动前3年内，在经营活动中没有重大违法记录</w:t>
      </w:r>
    </w:p>
    <w:p>
      <w:pPr>
        <w:spacing w:line="520" w:lineRule="exact"/>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__________________</w:t>
      </w:r>
    </w:p>
    <w:p>
      <w:pPr>
        <w:spacing w:line="520" w:lineRule="exact"/>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六、法律、行政法规规定的其他条件</w:t>
      </w:r>
    </w:p>
    <w:p>
      <w:pPr>
        <w:spacing w:line="520" w:lineRule="exact"/>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__________________</w:t>
      </w:r>
    </w:p>
    <w:p>
      <w:pPr>
        <w:spacing w:line="520" w:lineRule="exact"/>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七、采购项目的特殊要求</w:t>
      </w:r>
    </w:p>
    <w:p>
      <w:pPr>
        <w:tabs>
          <w:tab w:val="left" w:pos="330"/>
        </w:tabs>
        <w:spacing w:line="520" w:lineRule="exact"/>
        <w:ind w:firstLine="551" w:firstLineChars="196"/>
        <w:rPr>
          <w:rFonts w:ascii="Times New Roman" w:hAnsi="Times New Roman" w:eastAsia="仿宋" w:cs="Times New Roman"/>
          <w:b/>
          <w:bCs/>
          <w:sz w:val="28"/>
          <w:szCs w:val="28"/>
        </w:rPr>
      </w:pPr>
      <w:r>
        <w:rPr>
          <w:rFonts w:ascii="Times New Roman" w:hAnsi="Times New Roman" w:eastAsia="仿宋" w:cs="Times New Roman"/>
          <w:b/>
          <w:bCs/>
          <w:sz w:val="28"/>
          <w:szCs w:val="28"/>
        </w:rPr>
        <w:t>（一）投标承诺函</w:t>
      </w:r>
    </w:p>
    <w:p>
      <w:pPr>
        <w:spacing w:line="520" w:lineRule="exact"/>
        <w:rPr>
          <w:rFonts w:ascii="Times New Roman" w:hAnsi="Times New Roman" w:eastAsia="仿宋" w:cs="Times New Roman"/>
          <w:sz w:val="28"/>
          <w:szCs w:val="28"/>
        </w:rPr>
      </w:pPr>
      <w:r>
        <w:rPr>
          <w:rFonts w:hint="eastAsia" w:ascii="Times New Roman" w:hAnsi="Times New Roman" w:eastAsia="仿宋" w:cs="Times New Roman"/>
          <w:sz w:val="28"/>
          <w:szCs w:val="28"/>
          <w:lang w:val="en-US" w:eastAsia="zh-CN"/>
        </w:rPr>
        <w:t>南江农科村镇银行</w:t>
      </w:r>
      <w:r>
        <w:rPr>
          <w:rFonts w:ascii="Times New Roman" w:hAnsi="Times New Roman" w:eastAsia="仿宋" w:cs="Times New Roman"/>
          <w:sz w:val="28"/>
          <w:szCs w:val="28"/>
        </w:rPr>
        <w:t>：</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我方全面研究了“___________”项目招标文件（</w:t>
      </w:r>
      <w:r>
        <w:rPr>
          <w:rFonts w:hint="eastAsia" w:ascii="Times New Roman" w:hAnsi="Times New Roman" w:eastAsia="仿宋" w:cs="Times New Roman"/>
          <w:sz w:val="28"/>
          <w:szCs w:val="28"/>
          <w:lang w:val="en-US" w:eastAsia="zh-CN"/>
        </w:rPr>
        <w:t>采购编号：</w:t>
      </w:r>
      <w:r>
        <w:rPr>
          <w:rFonts w:hint="eastAsia" w:ascii="Times New Roman" w:hAnsi="Times New Roman" w:eastAsia="仿宋" w:cs="Times New Roman"/>
          <w:sz w:val="28"/>
          <w:szCs w:val="28"/>
          <w:u w:val="single"/>
          <w:lang w:val="en-US" w:eastAsia="zh-CN"/>
        </w:rPr>
        <w:t xml:space="preserve">    </w:t>
      </w:r>
      <w:r>
        <w:rPr>
          <w:rFonts w:ascii="Times New Roman" w:hAnsi="Times New Roman" w:eastAsia="仿宋" w:cs="Times New Roman"/>
          <w:sz w:val="28"/>
          <w:szCs w:val="28"/>
        </w:rPr>
        <w:t>），决定参加贵单位组织的本项目投标。我方授权___________（姓名、职务）代表我方___________（投标单位的名称）全权处理本项目投标的有关事宜。</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一、我方完全具备《中华人民共和国政府采购法》第二十二条第一款和本项目规定的条件。</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二、我方自愿按照招标文件规定的各项要求向采购人提供所需货物、服务。投标产品中，____为进口产品（无进口产品不需填写）。</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三、我方完全接受和满足本项目招标文件中规定的实质性要求，知悉并接受本项目有关知识产权的要求，知悉并接受本项目的投标有效期为____日，如对招标文件有异议，已经在投标截止时间前依法进行维权救济，不存在对招标文件有异议的同时又参加投标以求侥幸中标或者为实现其他非法目的的行为。</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四、我方已按照招标文件的规定提交了规定数量的投标文件正本、副本、样品。</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五、参加本次招标采购活动，不存在与单位负责人为同一人或者存在直接控股、管理关系的其他供应商参与同一合同项下的政府采购活动的行为。</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六、参加本次招标采购活动，不存在和其他供应商在同一合同项下的采购项目中，同时委托同一个自然人、同一家庭的人员、同一单位的人员作为代理人的行为。</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七、若我方按照本次招标文件的要求提交了样品，我方提供的样品即为中标后将要提供的中标产品。我方对提供样品的性能和质量负责，因样品存在缺陷或者不符合招标文件要求导致未能中标的，我方愿意承担相应不利后果。</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八、我方同意招标文件依据《四川省政府采购当事人诚信管理办法》（川财采〔2015〕33号文件）对我方可能存在的失信行为进行的惩戒。如果我方存在失信行为，将在投标文件中全面如实反映。</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九、我方在政府采购活动中提供的一切文件、证明和资料均是真实、准确、有效的。我方愿意提供贵方可能另外要求的，与政府采购活动有关的文件资料，并保证我方已提供和将要提供的文件资料是真实、准确、有效的。若有违法违规行为，我方将自动放弃参加本次政府采购活动的权利，并自觉接受有关处罚。</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十、我方郑重承诺，在参加本次政府采购活动前，未被纳入法院、工商行政管理部门、税务部门、银行认定的失信名单且在有效期内，亦未有在前3年政府采购合同履约过程中及其他经营活动履约过程中未依法履约被有关行政部门处罚（处理）的情形。若有以上情形，我方将自动放弃参加本次政府采购活动的权利。</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十一、我方郑重承诺，本单位及现任法定代表人、主要负责人无行贿犯罪记录，参加本次政府采购活动前三年内，具有良好的商业信誉，在经营活动中没有重大违法记录。</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十二、一旦我方中标，我方将严格履行政府采购合同规定的责任和义务，本承诺函将成为合同不可分割的一部分。</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十三、我方对上述承诺的内容事项真实性负责。如经查实上述承诺的内容事项存在虚假，我方愿意接受以提供虚假材料谋取中标追究法律责任。</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通讯地址：__________</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邮政编码：___________</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联系电话：___________</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传    真：___________</w:t>
      </w:r>
    </w:p>
    <w:p>
      <w:pPr>
        <w:spacing w:line="520" w:lineRule="exact"/>
        <w:ind w:firstLine="560" w:firstLineChars="200"/>
        <w:rPr>
          <w:rFonts w:ascii="Times New Roman" w:hAnsi="Times New Roman" w:eastAsia="仿宋" w:cs="Times New Roman"/>
          <w:sz w:val="28"/>
          <w:szCs w:val="28"/>
        </w:rPr>
      </w:pPr>
    </w:p>
    <w:p>
      <w:pPr>
        <w:spacing w:line="520" w:lineRule="exact"/>
        <w:ind w:firstLine="3360" w:firstLineChars="1200"/>
        <w:rPr>
          <w:rFonts w:ascii="Times New Roman" w:hAnsi="Times New Roman" w:eastAsia="仿宋" w:cs="Times New Roman"/>
          <w:sz w:val="28"/>
        </w:rPr>
      </w:pPr>
      <w:r>
        <w:rPr>
          <w:rFonts w:ascii="Times New Roman" w:hAnsi="Times New Roman" w:eastAsia="仿宋" w:cs="Times New Roman"/>
          <w:sz w:val="28"/>
        </w:rPr>
        <w:t>投标人：</w:t>
      </w:r>
      <w:r>
        <w:rPr>
          <w:rFonts w:ascii="Times New Roman" w:hAnsi="Times New Roman" w:eastAsia="仿宋" w:cs="Times New Roman"/>
          <w:sz w:val="28"/>
          <w:u w:val="single"/>
        </w:rPr>
        <w:t>（名称和加盖公章）</w:t>
      </w:r>
    </w:p>
    <w:p>
      <w:pPr>
        <w:spacing w:line="520" w:lineRule="exact"/>
        <w:ind w:firstLine="3360" w:firstLineChars="1200"/>
        <w:rPr>
          <w:rFonts w:ascii="Times New Roman" w:hAnsi="Times New Roman" w:eastAsia="仿宋" w:cs="Times New Roman"/>
          <w:sz w:val="28"/>
        </w:rPr>
      </w:pPr>
      <w:r>
        <w:rPr>
          <w:rFonts w:ascii="Times New Roman" w:hAnsi="Times New Roman" w:eastAsia="仿宋" w:cs="Times New Roman"/>
          <w:sz w:val="28"/>
        </w:rPr>
        <w:t>供应商代表：</w:t>
      </w:r>
      <w:r>
        <w:rPr>
          <w:rFonts w:ascii="Times New Roman" w:hAnsi="Times New Roman" w:eastAsia="仿宋" w:cs="Times New Roman"/>
          <w:sz w:val="28"/>
          <w:u w:val="single"/>
        </w:rPr>
        <w:t>（签字）</w:t>
      </w:r>
    </w:p>
    <w:p>
      <w:pPr>
        <w:spacing w:line="520" w:lineRule="exact"/>
        <w:ind w:firstLine="3360" w:firstLineChars="1200"/>
        <w:rPr>
          <w:rFonts w:ascii="Times New Roman" w:hAnsi="Times New Roman" w:eastAsia="仿宋" w:cs="Times New Roman"/>
          <w:sz w:val="28"/>
        </w:rPr>
      </w:pPr>
    </w:p>
    <w:p>
      <w:pPr>
        <w:spacing w:line="520" w:lineRule="exact"/>
        <w:jc w:val="right"/>
        <w:rPr>
          <w:rFonts w:ascii="Times New Roman" w:hAnsi="Times New Roman" w:eastAsia="仿宋" w:cs="Times New Roman"/>
          <w:sz w:val="28"/>
        </w:rPr>
      </w:pPr>
      <w:r>
        <w:rPr>
          <w:rFonts w:ascii="Times New Roman" w:hAnsi="Times New Roman" w:eastAsia="仿宋" w:cs="Times New Roman"/>
          <w:sz w:val="28"/>
        </w:rPr>
        <w:t>______年___月___日</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br w:type="page"/>
      </w:r>
    </w:p>
    <w:p>
      <w:pPr>
        <w:spacing w:line="500" w:lineRule="exact"/>
        <w:jc w:val="center"/>
        <w:rPr>
          <w:rFonts w:ascii="Times New Roman" w:hAnsi="Times New Roman" w:eastAsia="黑体" w:cs="Times New Roman"/>
          <w:bCs/>
          <w:sz w:val="32"/>
          <w:szCs w:val="30"/>
        </w:rPr>
      </w:pPr>
      <w:r>
        <w:rPr>
          <w:rFonts w:ascii="Times New Roman" w:hAnsi="Times New Roman" w:eastAsia="黑体" w:cs="Times New Roman"/>
          <w:bCs/>
          <w:sz w:val="32"/>
          <w:szCs w:val="30"/>
        </w:rPr>
        <w:t>第二部分 投标文件的报价部分、商务部分、技术部分</w:t>
      </w:r>
    </w:p>
    <w:p>
      <w:pPr>
        <w:spacing w:line="500" w:lineRule="exact"/>
        <w:rPr>
          <w:rFonts w:ascii="Times New Roman" w:hAnsi="Times New Roman" w:eastAsia="仿宋" w:cs="Times New Roman"/>
          <w:sz w:val="28"/>
          <w:szCs w:val="28"/>
        </w:rPr>
      </w:pPr>
      <w:r>
        <w:rPr>
          <w:rFonts w:ascii="Times New Roman" w:hAnsi="Times New Roman" w:eastAsia="仿宋" w:cs="Times New Roman"/>
          <w:sz w:val="28"/>
          <w:szCs w:val="28"/>
        </w:rPr>
        <w:t>（封面）</w:t>
      </w:r>
    </w:p>
    <w:p>
      <w:pPr>
        <w:jc w:val="right"/>
        <w:rPr>
          <w:rFonts w:ascii="Times New Roman" w:hAnsi="Times New Roman" w:eastAsia="仿宋" w:cs="Times New Roman"/>
          <w:b/>
          <w:sz w:val="32"/>
          <w:szCs w:val="32"/>
        </w:rPr>
      </w:pPr>
      <w:r>
        <w:rPr>
          <w:rFonts w:ascii="Times New Roman" w:hAnsi="Times New Roman" w:eastAsia="仿宋" w:cs="Times New Roman"/>
          <w:b/>
          <w:sz w:val="32"/>
          <w:szCs w:val="32"/>
        </w:rPr>
        <w:t>（</w:t>
      </w:r>
      <w:r>
        <w:rPr>
          <w:rFonts w:ascii="Times New Roman" w:hAnsi="Times New Roman" w:eastAsia="仿宋" w:cs="Times New Roman"/>
          <w:b/>
          <w:sz w:val="32"/>
          <w:szCs w:val="32"/>
          <w:u w:val="single"/>
        </w:rPr>
        <w:t>正/副</w:t>
      </w:r>
      <w:r>
        <w:rPr>
          <w:rFonts w:ascii="Times New Roman" w:hAnsi="Times New Roman" w:eastAsia="仿宋" w:cs="Times New Roman"/>
          <w:b/>
          <w:sz w:val="32"/>
          <w:szCs w:val="32"/>
        </w:rPr>
        <w:t>本）</w:t>
      </w:r>
    </w:p>
    <w:p>
      <w:pPr>
        <w:wordWrap w:val="0"/>
        <w:spacing w:line="600" w:lineRule="exact"/>
        <w:jc w:val="right"/>
        <w:rPr>
          <w:rFonts w:hint="default" w:ascii="Times New Roman" w:hAnsi="Times New Roman" w:eastAsia="仿宋" w:cs="Times New Roman"/>
          <w:b/>
          <w:sz w:val="32"/>
          <w:szCs w:val="32"/>
          <w:lang w:val="en-US" w:eastAsia="zh-CN"/>
        </w:rPr>
      </w:pPr>
      <w:r>
        <w:rPr>
          <w:rFonts w:hint="eastAsia" w:ascii="Times New Roman" w:hAnsi="Times New Roman" w:eastAsia="仿宋" w:cs="Times New Roman"/>
          <w:b/>
          <w:sz w:val="32"/>
          <w:szCs w:val="32"/>
          <w:lang w:val="en-US" w:eastAsia="zh-CN"/>
        </w:rPr>
        <w:t>采购编号：</w:t>
      </w:r>
      <w:r>
        <w:rPr>
          <w:rFonts w:ascii="Times New Roman" w:hAnsi="Times New Roman" w:eastAsia="方正小标宋_GBK" w:cs="Times New Roman"/>
          <w:b/>
          <w:spacing w:val="24"/>
          <w:sz w:val="48"/>
          <w:szCs w:val="48"/>
        </w:rPr>
        <w:t>_____</w:t>
      </w:r>
    </w:p>
    <w:p>
      <w:pPr>
        <w:spacing w:line="600" w:lineRule="exact"/>
        <w:jc w:val="center"/>
        <w:rPr>
          <w:rFonts w:ascii="Times New Roman" w:hAnsi="Times New Roman" w:eastAsia="方正小标宋_GBK" w:cs="Times New Roman"/>
          <w:b/>
          <w:spacing w:val="20"/>
          <w:sz w:val="48"/>
          <w:szCs w:val="48"/>
        </w:rPr>
      </w:pPr>
      <w:r>
        <w:rPr>
          <w:rFonts w:ascii="Times New Roman" w:hAnsi="Times New Roman" w:eastAsia="方正小标宋_GBK" w:cs="Times New Roman"/>
          <w:b/>
          <w:spacing w:val="24"/>
          <w:sz w:val="48"/>
          <w:szCs w:val="48"/>
        </w:rPr>
        <w:t>_____项目</w:t>
      </w:r>
    </w:p>
    <w:p>
      <w:pPr>
        <w:spacing w:before="624" w:beforeLines="200" w:after="624" w:afterLines="200" w:line="900" w:lineRule="exact"/>
        <w:jc w:val="center"/>
        <w:rPr>
          <w:rFonts w:ascii="Times New Roman" w:hAnsi="Times New Roman" w:eastAsia="方正小标宋简体" w:cs="Times New Roman"/>
          <w:b/>
          <w:sz w:val="72"/>
          <w:szCs w:val="72"/>
        </w:rPr>
      </w:pPr>
      <w:r>
        <w:rPr>
          <w:rFonts w:ascii="Times New Roman" w:hAnsi="Times New Roman" w:eastAsia="方正小标宋简体" w:cs="Times New Roman"/>
          <w:b/>
          <w:sz w:val="72"/>
          <w:szCs w:val="72"/>
        </w:rPr>
        <w:t>投</w:t>
      </w:r>
    </w:p>
    <w:p>
      <w:pPr>
        <w:spacing w:before="624" w:beforeLines="200" w:after="624" w:afterLines="200" w:line="900" w:lineRule="exact"/>
        <w:jc w:val="center"/>
        <w:rPr>
          <w:rFonts w:ascii="Times New Roman" w:hAnsi="Times New Roman" w:eastAsia="方正小标宋简体" w:cs="Times New Roman"/>
          <w:b/>
          <w:sz w:val="72"/>
          <w:szCs w:val="72"/>
        </w:rPr>
      </w:pPr>
      <w:r>
        <w:rPr>
          <w:rFonts w:ascii="Times New Roman" w:hAnsi="Times New Roman" w:eastAsia="方正小标宋简体" w:cs="Times New Roman"/>
          <w:b/>
          <w:sz w:val="72"/>
          <w:szCs w:val="72"/>
        </w:rPr>
        <w:t>标</w:t>
      </w:r>
    </w:p>
    <w:p>
      <w:pPr>
        <w:spacing w:before="624" w:beforeLines="200" w:after="624" w:afterLines="200" w:line="900" w:lineRule="exact"/>
        <w:jc w:val="center"/>
        <w:rPr>
          <w:rFonts w:ascii="Times New Roman" w:hAnsi="Times New Roman" w:eastAsia="方正小标宋简体" w:cs="Times New Roman"/>
          <w:b/>
          <w:sz w:val="72"/>
          <w:szCs w:val="72"/>
        </w:rPr>
      </w:pPr>
      <w:r>
        <w:rPr>
          <w:rFonts w:ascii="Times New Roman" w:hAnsi="Times New Roman" w:eastAsia="方正小标宋简体" w:cs="Times New Roman"/>
          <w:b/>
          <w:sz w:val="72"/>
          <w:szCs w:val="72"/>
        </w:rPr>
        <w:t>文</w:t>
      </w:r>
    </w:p>
    <w:p>
      <w:pPr>
        <w:spacing w:before="624" w:beforeLines="200" w:after="624" w:afterLines="200" w:line="900" w:lineRule="exact"/>
        <w:jc w:val="center"/>
        <w:rPr>
          <w:rFonts w:ascii="Times New Roman" w:hAnsi="Times New Roman" w:eastAsia="方正小标宋简体" w:cs="Times New Roman"/>
          <w:b/>
          <w:sz w:val="72"/>
          <w:szCs w:val="72"/>
        </w:rPr>
      </w:pPr>
      <w:r>
        <w:rPr>
          <w:rFonts w:ascii="Times New Roman" w:hAnsi="Times New Roman" w:eastAsia="方正小标宋简体" w:cs="Times New Roman"/>
          <w:b/>
          <w:sz w:val="72"/>
          <w:szCs w:val="72"/>
        </w:rPr>
        <w:t>件</w:t>
      </w:r>
    </w:p>
    <w:p>
      <w:pPr>
        <w:jc w:val="center"/>
        <w:rPr>
          <w:rFonts w:ascii="Times New Roman" w:hAnsi="Times New Roman" w:eastAsia="黑体" w:cs="Times New Roman"/>
          <w:sz w:val="32"/>
          <w:szCs w:val="32"/>
        </w:rPr>
      </w:pPr>
      <w:r>
        <w:rPr>
          <w:rFonts w:ascii="Times New Roman" w:hAnsi="Times New Roman" w:eastAsia="黑体" w:cs="Times New Roman"/>
          <w:sz w:val="32"/>
          <w:szCs w:val="32"/>
        </w:rPr>
        <w:t>投标人：</w:t>
      </w:r>
      <w:r>
        <w:rPr>
          <w:rFonts w:ascii="Times New Roman" w:hAnsi="Times New Roman" w:eastAsia="黑体" w:cs="Times New Roman"/>
          <w:sz w:val="32"/>
          <w:szCs w:val="32"/>
          <w:u w:val="single"/>
        </w:rPr>
        <w:t>（名称和加盖公章）</w:t>
      </w:r>
    </w:p>
    <w:p>
      <w:pPr>
        <w:jc w:val="center"/>
        <w:rPr>
          <w:rFonts w:ascii="Times New Roman" w:hAnsi="Times New Roman" w:eastAsia="黑体" w:cs="Times New Roman"/>
          <w:sz w:val="32"/>
          <w:szCs w:val="32"/>
          <w:u w:val="single"/>
        </w:rPr>
      </w:pPr>
      <w:r>
        <w:rPr>
          <w:rFonts w:ascii="Times New Roman" w:hAnsi="Times New Roman" w:eastAsia="黑体" w:cs="Times New Roman"/>
          <w:sz w:val="32"/>
          <w:szCs w:val="32"/>
        </w:rPr>
        <w:t>供应商代表：</w:t>
      </w:r>
      <w:r>
        <w:rPr>
          <w:rFonts w:ascii="Times New Roman" w:hAnsi="Times New Roman" w:eastAsia="黑体" w:cs="Times New Roman"/>
          <w:sz w:val="32"/>
          <w:szCs w:val="32"/>
          <w:u w:val="single"/>
        </w:rPr>
        <w:t xml:space="preserve">  （签字）</w:t>
      </w:r>
    </w:p>
    <w:p>
      <w:pPr>
        <w:jc w:val="center"/>
        <w:rPr>
          <w:rFonts w:ascii="Times New Roman" w:hAnsi="Times New Roman" w:eastAsia="仿宋_GB2312" w:cs="Times New Roman"/>
          <w:sz w:val="24"/>
        </w:rPr>
      </w:pPr>
    </w:p>
    <w:p>
      <w:pPr>
        <w:jc w:val="center"/>
        <w:rPr>
          <w:rFonts w:ascii="Times New Roman" w:hAnsi="Times New Roman" w:cs="Times New Roman"/>
          <w:b/>
          <w:sz w:val="27"/>
        </w:rPr>
      </w:pPr>
      <w:r>
        <w:rPr>
          <w:rFonts w:ascii="Times New Roman" w:hAnsi="Times New Roman" w:eastAsia="黑体" w:cs="Times New Roman"/>
          <w:sz w:val="32"/>
          <w:szCs w:val="32"/>
        </w:rPr>
        <w:t>202</w:t>
      </w:r>
      <w:r>
        <w:rPr>
          <w:rFonts w:hint="eastAsia" w:ascii="Times New Roman" w:hAnsi="Times New Roman" w:eastAsia="黑体" w:cs="Times New Roman"/>
          <w:sz w:val="32"/>
          <w:szCs w:val="32"/>
          <w:lang w:val="en-US" w:eastAsia="zh-CN"/>
        </w:rPr>
        <w:t>1</w:t>
      </w:r>
      <w:r>
        <w:rPr>
          <w:rFonts w:ascii="Times New Roman" w:hAnsi="Times New Roman" w:eastAsia="黑体" w:cs="Times New Roman"/>
          <w:sz w:val="32"/>
          <w:szCs w:val="32"/>
        </w:rPr>
        <w:t>年___月</w:t>
      </w:r>
      <w:r>
        <w:rPr>
          <w:rFonts w:ascii="Times New Roman" w:hAnsi="Times New Roman" w:cs="Times New Roman"/>
          <w:b/>
          <w:sz w:val="27"/>
        </w:rPr>
        <w:br w:type="page"/>
      </w:r>
    </w:p>
    <w:p>
      <w:pPr>
        <w:spacing w:line="500" w:lineRule="exact"/>
        <w:rPr>
          <w:rFonts w:ascii="Times New Roman" w:hAnsi="Times New Roman" w:eastAsia="仿宋" w:cs="Times New Roman"/>
          <w:sz w:val="28"/>
          <w:szCs w:val="28"/>
        </w:rPr>
      </w:pPr>
      <w:r>
        <w:rPr>
          <w:rFonts w:ascii="Times New Roman" w:hAnsi="Times New Roman" w:eastAsia="仿宋" w:cs="Times New Roman"/>
          <w:sz w:val="28"/>
          <w:szCs w:val="28"/>
        </w:rPr>
        <w:t>（目录）</w:t>
      </w:r>
    </w:p>
    <w:p>
      <w:pPr>
        <w:widowControl/>
        <w:jc w:val="center"/>
        <w:rPr>
          <w:rFonts w:ascii="Times New Roman" w:hAnsi="Times New Roman" w:eastAsia="仿宋" w:cs="Times New Roman"/>
          <w:b/>
          <w:sz w:val="36"/>
          <w:szCs w:val="28"/>
        </w:rPr>
      </w:pPr>
      <w:r>
        <w:rPr>
          <w:rFonts w:ascii="Times New Roman" w:hAnsi="Times New Roman" w:eastAsia="仿宋" w:cs="Times New Roman"/>
          <w:b/>
          <w:sz w:val="36"/>
          <w:szCs w:val="28"/>
        </w:rPr>
        <w:t>目  录</w:t>
      </w:r>
    </w:p>
    <w:p>
      <w:pPr>
        <w:snapToGrid w:val="0"/>
        <w:spacing w:line="520" w:lineRule="exact"/>
        <w:ind w:firstLine="560" w:firstLineChars="200"/>
        <w:jc w:val="left"/>
        <w:rPr>
          <w:rFonts w:ascii="Times New Roman" w:hAnsi="Times New Roman" w:eastAsia="仿宋" w:cs="Times New Roman"/>
          <w:bCs/>
          <w:sz w:val="28"/>
          <w:szCs w:val="28"/>
        </w:rPr>
      </w:pPr>
    </w:p>
    <w:p>
      <w:pPr>
        <w:snapToGrid w:val="0"/>
        <w:spacing w:line="520" w:lineRule="exact"/>
        <w:ind w:firstLine="560" w:firstLineChars="200"/>
        <w:jc w:val="left"/>
        <w:rPr>
          <w:rFonts w:ascii="Times New Roman" w:hAnsi="Times New Roman" w:eastAsia="仿宋" w:cs="Times New Roman"/>
          <w:bCs/>
          <w:sz w:val="28"/>
          <w:szCs w:val="28"/>
        </w:rPr>
      </w:pPr>
      <w:r>
        <w:rPr>
          <w:rFonts w:ascii="Times New Roman" w:hAnsi="Times New Roman" w:eastAsia="仿宋" w:cs="Times New Roman"/>
          <w:bCs/>
          <w:sz w:val="28"/>
          <w:szCs w:val="28"/>
        </w:rPr>
        <w:t>第一节  报价部分                                     …页码</w:t>
      </w:r>
    </w:p>
    <w:p>
      <w:pPr>
        <w:snapToGrid w:val="0"/>
        <w:spacing w:line="520" w:lineRule="exact"/>
        <w:ind w:firstLine="560" w:firstLineChars="200"/>
        <w:jc w:val="left"/>
        <w:rPr>
          <w:rFonts w:ascii="Times New Roman" w:hAnsi="Times New Roman" w:eastAsia="仿宋" w:cs="Times New Roman"/>
          <w:bCs/>
          <w:sz w:val="28"/>
          <w:szCs w:val="28"/>
        </w:rPr>
      </w:pPr>
      <w:r>
        <w:rPr>
          <w:rFonts w:ascii="Times New Roman" w:hAnsi="Times New Roman" w:eastAsia="仿宋" w:cs="Times New Roman"/>
          <w:bCs/>
          <w:sz w:val="28"/>
          <w:szCs w:val="28"/>
        </w:rPr>
        <w:t>一、</w:t>
      </w:r>
    </w:p>
    <w:p>
      <w:pPr>
        <w:snapToGrid w:val="0"/>
        <w:spacing w:line="520" w:lineRule="exact"/>
        <w:ind w:firstLine="560" w:firstLineChars="200"/>
        <w:jc w:val="left"/>
        <w:rPr>
          <w:rFonts w:ascii="Times New Roman" w:hAnsi="Times New Roman" w:eastAsia="仿宋" w:cs="Times New Roman"/>
          <w:bCs/>
          <w:sz w:val="28"/>
          <w:szCs w:val="28"/>
        </w:rPr>
      </w:pPr>
      <w:r>
        <w:rPr>
          <w:rFonts w:ascii="Times New Roman" w:hAnsi="Times New Roman" w:eastAsia="仿宋" w:cs="Times New Roman"/>
          <w:bCs/>
          <w:sz w:val="28"/>
          <w:szCs w:val="28"/>
        </w:rPr>
        <w:t>二、</w:t>
      </w:r>
    </w:p>
    <w:p>
      <w:pPr>
        <w:snapToGrid w:val="0"/>
        <w:spacing w:line="520" w:lineRule="exact"/>
        <w:ind w:firstLine="560" w:firstLineChars="200"/>
        <w:jc w:val="left"/>
        <w:rPr>
          <w:rFonts w:ascii="Times New Roman" w:hAnsi="Times New Roman" w:eastAsia="仿宋" w:cs="Times New Roman"/>
          <w:bCs/>
          <w:sz w:val="28"/>
          <w:szCs w:val="28"/>
        </w:rPr>
      </w:pPr>
      <w:r>
        <w:rPr>
          <w:rFonts w:ascii="Times New Roman" w:hAnsi="Times New Roman" w:eastAsia="仿宋" w:cs="Times New Roman"/>
          <w:bCs/>
          <w:sz w:val="28"/>
          <w:szCs w:val="28"/>
        </w:rPr>
        <w:t>……</w:t>
      </w:r>
    </w:p>
    <w:p>
      <w:pPr>
        <w:snapToGrid w:val="0"/>
        <w:spacing w:line="520" w:lineRule="exact"/>
        <w:ind w:firstLine="560" w:firstLineChars="200"/>
        <w:jc w:val="left"/>
        <w:rPr>
          <w:rFonts w:ascii="Times New Roman" w:hAnsi="Times New Roman" w:eastAsia="仿宋" w:cs="Times New Roman"/>
          <w:bCs/>
          <w:sz w:val="28"/>
          <w:szCs w:val="28"/>
        </w:rPr>
      </w:pPr>
      <w:r>
        <w:rPr>
          <w:rFonts w:ascii="Times New Roman" w:hAnsi="Times New Roman" w:eastAsia="仿宋" w:cs="Times New Roman"/>
          <w:bCs/>
          <w:sz w:val="28"/>
          <w:szCs w:val="28"/>
        </w:rPr>
        <w:t>第二节  商务部分                                     …页码</w:t>
      </w:r>
    </w:p>
    <w:p>
      <w:pPr>
        <w:snapToGrid w:val="0"/>
        <w:spacing w:line="520" w:lineRule="exact"/>
        <w:ind w:firstLine="560" w:firstLineChars="200"/>
        <w:jc w:val="left"/>
        <w:rPr>
          <w:rFonts w:ascii="Times New Roman" w:hAnsi="Times New Roman" w:eastAsia="仿宋" w:cs="Times New Roman"/>
          <w:bCs/>
          <w:sz w:val="28"/>
          <w:szCs w:val="28"/>
        </w:rPr>
      </w:pPr>
      <w:r>
        <w:rPr>
          <w:rFonts w:ascii="Times New Roman" w:hAnsi="Times New Roman" w:eastAsia="仿宋" w:cs="Times New Roman"/>
          <w:bCs/>
          <w:sz w:val="28"/>
          <w:szCs w:val="28"/>
        </w:rPr>
        <w:t>一、</w:t>
      </w:r>
    </w:p>
    <w:p>
      <w:pPr>
        <w:snapToGrid w:val="0"/>
        <w:spacing w:line="520" w:lineRule="exact"/>
        <w:ind w:firstLine="560" w:firstLineChars="200"/>
        <w:jc w:val="left"/>
        <w:rPr>
          <w:rFonts w:ascii="Times New Roman" w:hAnsi="Times New Roman" w:eastAsia="仿宋" w:cs="Times New Roman"/>
          <w:bCs/>
          <w:sz w:val="28"/>
          <w:szCs w:val="28"/>
        </w:rPr>
      </w:pPr>
      <w:r>
        <w:rPr>
          <w:rFonts w:ascii="Times New Roman" w:hAnsi="Times New Roman" w:eastAsia="仿宋" w:cs="Times New Roman"/>
          <w:bCs/>
          <w:sz w:val="28"/>
          <w:szCs w:val="28"/>
        </w:rPr>
        <w:t>二、</w:t>
      </w:r>
    </w:p>
    <w:p>
      <w:pPr>
        <w:snapToGrid w:val="0"/>
        <w:spacing w:line="520" w:lineRule="exact"/>
        <w:ind w:firstLine="560" w:firstLineChars="200"/>
        <w:jc w:val="left"/>
        <w:rPr>
          <w:rFonts w:ascii="Times New Roman" w:hAnsi="Times New Roman" w:eastAsia="仿宋" w:cs="Times New Roman"/>
          <w:bCs/>
          <w:sz w:val="28"/>
          <w:szCs w:val="28"/>
        </w:rPr>
      </w:pPr>
      <w:r>
        <w:rPr>
          <w:rFonts w:ascii="Times New Roman" w:hAnsi="Times New Roman" w:eastAsia="仿宋" w:cs="Times New Roman"/>
          <w:bCs/>
          <w:sz w:val="28"/>
          <w:szCs w:val="28"/>
        </w:rPr>
        <w:t>……</w:t>
      </w:r>
    </w:p>
    <w:p>
      <w:pPr>
        <w:snapToGrid w:val="0"/>
        <w:spacing w:line="520" w:lineRule="exact"/>
        <w:ind w:firstLine="560" w:firstLineChars="200"/>
        <w:jc w:val="left"/>
        <w:rPr>
          <w:rFonts w:ascii="Times New Roman" w:hAnsi="Times New Roman" w:eastAsia="仿宋" w:cs="Times New Roman"/>
          <w:bCs/>
          <w:sz w:val="28"/>
          <w:szCs w:val="28"/>
        </w:rPr>
      </w:pPr>
      <w:r>
        <w:rPr>
          <w:rFonts w:ascii="Times New Roman" w:hAnsi="Times New Roman" w:eastAsia="仿宋" w:cs="Times New Roman"/>
          <w:bCs/>
          <w:sz w:val="28"/>
          <w:szCs w:val="28"/>
        </w:rPr>
        <w:t>第三节  技术部分                                     …页码</w:t>
      </w:r>
    </w:p>
    <w:p>
      <w:pPr>
        <w:snapToGrid w:val="0"/>
        <w:spacing w:line="520" w:lineRule="exact"/>
        <w:ind w:firstLine="560" w:firstLineChars="200"/>
        <w:jc w:val="left"/>
        <w:rPr>
          <w:rFonts w:ascii="Times New Roman" w:hAnsi="Times New Roman" w:eastAsia="仿宋" w:cs="Times New Roman"/>
          <w:bCs/>
          <w:sz w:val="28"/>
          <w:szCs w:val="28"/>
        </w:rPr>
      </w:pPr>
      <w:r>
        <w:rPr>
          <w:rFonts w:ascii="Times New Roman" w:hAnsi="Times New Roman" w:eastAsia="仿宋" w:cs="Times New Roman"/>
          <w:bCs/>
          <w:sz w:val="28"/>
          <w:szCs w:val="28"/>
        </w:rPr>
        <w:t>一、</w:t>
      </w:r>
    </w:p>
    <w:p>
      <w:pPr>
        <w:snapToGrid w:val="0"/>
        <w:spacing w:line="520" w:lineRule="exact"/>
        <w:ind w:firstLine="560" w:firstLineChars="200"/>
        <w:jc w:val="left"/>
        <w:rPr>
          <w:rFonts w:ascii="Times New Roman" w:hAnsi="Times New Roman" w:eastAsia="仿宋" w:cs="Times New Roman"/>
          <w:bCs/>
          <w:sz w:val="28"/>
          <w:szCs w:val="28"/>
        </w:rPr>
      </w:pPr>
      <w:r>
        <w:rPr>
          <w:rFonts w:ascii="Times New Roman" w:hAnsi="Times New Roman" w:eastAsia="仿宋" w:cs="Times New Roman"/>
          <w:bCs/>
          <w:sz w:val="28"/>
          <w:szCs w:val="28"/>
        </w:rPr>
        <w:t>二、</w:t>
      </w:r>
    </w:p>
    <w:p>
      <w:pPr>
        <w:snapToGrid w:val="0"/>
        <w:spacing w:line="520" w:lineRule="exact"/>
        <w:ind w:firstLine="560" w:firstLineChars="200"/>
        <w:jc w:val="left"/>
        <w:rPr>
          <w:rFonts w:ascii="Times New Roman" w:hAnsi="Times New Roman" w:eastAsia="仿宋" w:cs="Times New Roman"/>
          <w:bCs/>
          <w:sz w:val="28"/>
          <w:szCs w:val="28"/>
        </w:rPr>
      </w:pPr>
      <w:r>
        <w:rPr>
          <w:rFonts w:ascii="Times New Roman" w:hAnsi="Times New Roman" w:eastAsia="仿宋" w:cs="Times New Roman"/>
          <w:bCs/>
          <w:sz w:val="28"/>
          <w:szCs w:val="28"/>
        </w:rPr>
        <w:t>……</w:t>
      </w:r>
    </w:p>
    <w:p>
      <w:pPr>
        <w:widowControl/>
        <w:spacing w:line="520" w:lineRule="exact"/>
        <w:jc w:val="left"/>
        <w:rPr>
          <w:rFonts w:ascii="Times New Roman" w:hAnsi="Times New Roman" w:eastAsia="仿宋" w:cs="Times New Roman"/>
          <w:b/>
          <w:sz w:val="28"/>
          <w:szCs w:val="28"/>
        </w:rPr>
      </w:pPr>
      <w:r>
        <w:rPr>
          <w:rFonts w:ascii="Times New Roman" w:hAnsi="Times New Roman" w:eastAsia="仿宋" w:cs="Times New Roman"/>
          <w:b/>
          <w:sz w:val="28"/>
          <w:szCs w:val="28"/>
        </w:rPr>
        <w:br w:type="page"/>
      </w:r>
    </w:p>
    <w:p>
      <w:pPr>
        <w:spacing w:line="500" w:lineRule="exact"/>
        <w:rPr>
          <w:rFonts w:ascii="Times New Roman" w:hAnsi="Times New Roman" w:eastAsia="仿宋" w:cs="Times New Roman"/>
          <w:sz w:val="28"/>
          <w:szCs w:val="28"/>
        </w:rPr>
      </w:pPr>
      <w:r>
        <w:rPr>
          <w:rFonts w:ascii="Times New Roman" w:hAnsi="Times New Roman" w:eastAsia="仿宋" w:cs="Times New Roman"/>
          <w:sz w:val="28"/>
          <w:szCs w:val="28"/>
        </w:rPr>
        <w:t>（内页）</w:t>
      </w:r>
    </w:p>
    <w:p>
      <w:pPr>
        <w:spacing w:line="520" w:lineRule="exact"/>
        <w:jc w:val="center"/>
        <w:rPr>
          <w:rFonts w:ascii="Times New Roman" w:hAnsi="Times New Roman" w:eastAsia="仿宋" w:cs="Times New Roman"/>
          <w:b/>
          <w:sz w:val="30"/>
          <w:szCs w:val="30"/>
        </w:rPr>
      </w:pPr>
      <w:r>
        <w:rPr>
          <w:rFonts w:ascii="Times New Roman" w:hAnsi="Times New Roman" w:eastAsia="仿宋" w:cs="Times New Roman"/>
          <w:b/>
          <w:sz w:val="30"/>
          <w:szCs w:val="30"/>
        </w:rPr>
        <w:t>第一</w:t>
      </w:r>
      <w:r>
        <w:rPr>
          <w:rFonts w:ascii="Times New Roman" w:hAnsi="Times New Roman" w:eastAsia="仿宋" w:cs="Times New Roman"/>
          <w:b/>
          <w:bCs/>
          <w:sz w:val="28"/>
          <w:szCs w:val="28"/>
        </w:rPr>
        <w:t>节</w:t>
      </w:r>
      <w:r>
        <w:rPr>
          <w:rFonts w:ascii="Times New Roman" w:hAnsi="Times New Roman" w:eastAsia="仿宋" w:cs="Times New Roman"/>
          <w:b/>
          <w:sz w:val="30"/>
          <w:szCs w:val="30"/>
        </w:rPr>
        <w:t xml:space="preserve"> 报价部分</w:t>
      </w:r>
    </w:p>
    <w:p>
      <w:pPr>
        <w:spacing w:line="520" w:lineRule="exact"/>
        <w:rPr>
          <w:rFonts w:ascii="Times New Roman" w:hAnsi="Times New Roman" w:eastAsia="仿宋" w:cs="Times New Roman"/>
          <w:b/>
          <w:sz w:val="28"/>
          <w:szCs w:val="28"/>
        </w:rPr>
      </w:pP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一、开标一览表</w:t>
      </w:r>
    </w:p>
    <w:p>
      <w:pPr>
        <w:spacing w:before="624" w:beforeLines="200" w:after="312" w:afterLines="100" w:line="520" w:lineRule="exact"/>
        <w:jc w:val="center"/>
        <w:rPr>
          <w:rFonts w:ascii="Times New Roman" w:hAnsi="Times New Roman" w:eastAsia="仿宋" w:cs="Times New Roman"/>
          <w:b/>
          <w:sz w:val="32"/>
          <w:szCs w:val="32"/>
          <w:u w:val="single"/>
        </w:rPr>
      </w:pPr>
      <w:bookmarkStart w:id="8" w:name="_Hlk497229425"/>
      <w:r>
        <w:rPr>
          <w:rFonts w:hint="eastAsia" w:ascii="Times New Roman" w:hAnsi="Times New Roman" w:eastAsia="仿宋" w:cs="Times New Roman"/>
          <w:b/>
          <w:sz w:val="32"/>
          <w:szCs w:val="32"/>
          <w:u w:val="single"/>
          <w:lang w:val="en-US" w:eastAsia="zh-CN"/>
        </w:rPr>
        <w:t>南江农科村镇银行办公家具采购</w:t>
      </w:r>
      <w:r>
        <w:rPr>
          <w:rFonts w:ascii="Times New Roman" w:hAnsi="Times New Roman" w:eastAsia="仿宋" w:cs="Times New Roman"/>
          <w:b/>
          <w:sz w:val="32"/>
          <w:szCs w:val="32"/>
          <w:u w:val="single"/>
        </w:rPr>
        <w:t>项目</w:t>
      </w:r>
    </w:p>
    <w:p>
      <w:pPr>
        <w:spacing w:line="520" w:lineRule="exact"/>
        <w:rPr>
          <w:rFonts w:hint="eastAsia" w:ascii="Times New Roman" w:hAnsi="Times New Roman" w:eastAsia="仿宋" w:cs="Times New Roman"/>
          <w:sz w:val="28"/>
          <w:szCs w:val="28"/>
          <w:lang w:eastAsia="zh-CN"/>
        </w:rPr>
      </w:pPr>
      <w:r>
        <w:rPr>
          <w:rFonts w:ascii="Times New Roman" w:hAnsi="Times New Roman" w:eastAsia="仿宋" w:cs="Times New Roman"/>
          <w:sz w:val="28"/>
          <w:szCs w:val="28"/>
        </w:rPr>
        <w:t>招标编号：</w:t>
      </w:r>
      <w:r>
        <w:rPr>
          <w:rFonts w:hint="eastAsia" w:ascii="Times New Roman" w:hAnsi="Times New Roman" w:eastAsia="仿宋" w:cs="Times New Roman"/>
          <w:sz w:val="28"/>
          <w:szCs w:val="28"/>
          <w:lang w:val="en-US" w:eastAsia="zh-CN"/>
        </w:rPr>
        <w:t>南江农科BGJJ-2021-1号</w:t>
      </w:r>
    </w:p>
    <w:p>
      <w:pPr>
        <w:spacing w:line="520" w:lineRule="exact"/>
        <w:rPr>
          <w:rFonts w:ascii="Times New Roman" w:hAnsi="Times New Roman" w:eastAsia="仿宋" w:cs="Times New Roman"/>
          <w:sz w:val="28"/>
          <w:szCs w:val="28"/>
        </w:rPr>
      </w:pPr>
      <w:r>
        <w:rPr>
          <w:rFonts w:ascii="Times New Roman" w:hAnsi="Times New Roman" w:eastAsia="仿宋" w:cs="Times New Roman"/>
          <w:sz w:val="28"/>
          <w:szCs w:val="28"/>
        </w:rPr>
        <w:t>金额：元</w:t>
      </w:r>
    </w:p>
    <w:tbl>
      <w:tblPr>
        <w:tblStyle w:val="16"/>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2632"/>
        <w:gridCol w:w="1557"/>
        <w:gridCol w:w="1241"/>
        <w:gridCol w:w="1003"/>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blHeader/>
        </w:trPr>
        <w:tc>
          <w:tcPr>
            <w:tcW w:w="877" w:type="dxa"/>
            <w:vAlign w:val="center"/>
          </w:tcPr>
          <w:p>
            <w:pPr>
              <w:spacing w:line="432" w:lineRule="auto"/>
              <w:jc w:val="center"/>
              <w:rPr>
                <w:rFonts w:ascii="Times New Roman" w:hAnsi="Times New Roman" w:eastAsia="仿宋" w:cs="Times New Roman"/>
                <w:b/>
                <w:sz w:val="24"/>
                <w:szCs w:val="24"/>
              </w:rPr>
            </w:pPr>
            <w:r>
              <w:rPr>
                <w:rFonts w:ascii="Times New Roman" w:hAnsi="Times New Roman" w:eastAsia="仿宋" w:cs="Times New Roman"/>
                <w:b/>
                <w:sz w:val="24"/>
                <w:szCs w:val="24"/>
              </w:rPr>
              <w:t>序号</w:t>
            </w:r>
          </w:p>
        </w:tc>
        <w:tc>
          <w:tcPr>
            <w:tcW w:w="2632" w:type="dxa"/>
            <w:vAlign w:val="center"/>
          </w:tcPr>
          <w:p>
            <w:pPr>
              <w:spacing w:line="432" w:lineRule="auto"/>
              <w:jc w:val="center"/>
              <w:rPr>
                <w:rFonts w:ascii="Times New Roman" w:hAnsi="Times New Roman" w:eastAsia="仿宋" w:cs="Times New Roman"/>
                <w:b/>
                <w:sz w:val="24"/>
                <w:szCs w:val="24"/>
              </w:rPr>
            </w:pPr>
            <w:r>
              <w:rPr>
                <w:rFonts w:ascii="Times New Roman" w:hAnsi="Times New Roman" w:eastAsia="仿宋" w:cs="Times New Roman"/>
                <w:b/>
                <w:sz w:val="24"/>
                <w:szCs w:val="24"/>
              </w:rPr>
              <w:t>采购内容</w:t>
            </w:r>
          </w:p>
        </w:tc>
        <w:tc>
          <w:tcPr>
            <w:tcW w:w="1557" w:type="dxa"/>
          </w:tcPr>
          <w:p>
            <w:pPr>
              <w:spacing w:line="432" w:lineRule="auto"/>
              <w:jc w:val="center"/>
              <w:rPr>
                <w:rFonts w:ascii="Times New Roman" w:hAnsi="Times New Roman" w:eastAsia="仿宋" w:cs="Times New Roman"/>
                <w:b/>
                <w:sz w:val="24"/>
                <w:szCs w:val="24"/>
              </w:rPr>
            </w:pPr>
            <w:r>
              <w:rPr>
                <w:rFonts w:ascii="Times New Roman" w:hAnsi="Times New Roman" w:eastAsia="仿宋" w:cs="Times New Roman"/>
                <w:b/>
                <w:sz w:val="24"/>
                <w:szCs w:val="24"/>
              </w:rPr>
              <w:t>品牌、型号</w:t>
            </w:r>
          </w:p>
        </w:tc>
        <w:tc>
          <w:tcPr>
            <w:tcW w:w="1241" w:type="dxa"/>
            <w:vAlign w:val="center"/>
          </w:tcPr>
          <w:p>
            <w:pPr>
              <w:spacing w:line="432" w:lineRule="auto"/>
              <w:jc w:val="center"/>
              <w:rPr>
                <w:rFonts w:ascii="Times New Roman" w:hAnsi="Times New Roman" w:eastAsia="仿宋" w:cs="Times New Roman"/>
                <w:b/>
                <w:sz w:val="24"/>
                <w:szCs w:val="24"/>
              </w:rPr>
            </w:pPr>
            <w:r>
              <w:rPr>
                <w:rFonts w:ascii="Times New Roman" w:hAnsi="Times New Roman" w:eastAsia="仿宋" w:cs="Times New Roman"/>
                <w:b/>
                <w:sz w:val="24"/>
                <w:szCs w:val="24"/>
              </w:rPr>
              <w:t>单价</w:t>
            </w:r>
          </w:p>
        </w:tc>
        <w:tc>
          <w:tcPr>
            <w:tcW w:w="1003" w:type="dxa"/>
            <w:vAlign w:val="center"/>
          </w:tcPr>
          <w:p>
            <w:pPr>
              <w:spacing w:line="432" w:lineRule="auto"/>
              <w:jc w:val="center"/>
              <w:rPr>
                <w:rFonts w:ascii="Times New Roman" w:hAnsi="Times New Roman" w:eastAsia="仿宋" w:cs="Times New Roman"/>
                <w:b/>
                <w:sz w:val="24"/>
                <w:szCs w:val="24"/>
              </w:rPr>
            </w:pPr>
            <w:r>
              <w:rPr>
                <w:rFonts w:ascii="Times New Roman" w:hAnsi="Times New Roman" w:eastAsia="仿宋" w:cs="Times New Roman"/>
                <w:b/>
                <w:sz w:val="24"/>
                <w:szCs w:val="24"/>
              </w:rPr>
              <w:t>数量</w:t>
            </w:r>
          </w:p>
        </w:tc>
        <w:tc>
          <w:tcPr>
            <w:tcW w:w="1976" w:type="dxa"/>
            <w:vAlign w:val="center"/>
          </w:tcPr>
          <w:p>
            <w:pPr>
              <w:spacing w:line="432" w:lineRule="auto"/>
              <w:jc w:val="center"/>
              <w:rPr>
                <w:rFonts w:ascii="Times New Roman" w:hAnsi="Times New Roman" w:eastAsia="仿宋" w:cs="Times New Roman"/>
                <w:b/>
                <w:sz w:val="24"/>
                <w:szCs w:val="24"/>
              </w:rPr>
            </w:pPr>
            <w:r>
              <w:rPr>
                <w:rFonts w:ascii="Times New Roman" w:hAnsi="Times New Roman" w:eastAsia="仿宋" w:cs="Times New Roman"/>
                <w:b/>
                <w:sz w:val="24"/>
                <w:szCs w:val="24"/>
              </w:rPr>
              <w:t>分项价格汇总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blHeader/>
        </w:trPr>
        <w:tc>
          <w:tcPr>
            <w:tcW w:w="877" w:type="dxa"/>
            <w:vAlign w:val="center"/>
          </w:tcPr>
          <w:p>
            <w:pPr>
              <w:spacing w:line="432" w:lineRule="auto"/>
              <w:jc w:val="center"/>
              <w:rPr>
                <w:rFonts w:ascii="Times New Roman" w:hAnsi="Times New Roman" w:eastAsia="仿宋" w:cs="Times New Roman"/>
                <w:b/>
                <w:sz w:val="24"/>
                <w:szCs w:val="24"/>
              </w:rPr>
            </w:pPr>
          </w:p>
        </w:tc>
        <w:tc>
          <w:tcPr>
            <w:tcW w:w="2632" w:type="dxa"/>
            <w:vAlign w:val="center"/>
          </w:tcPr>
          <w:p>
            <w:pPr>
              <w:spacing w:line="432" w:lineRule="auto"/>
              <w:jc w:val="center"/>
              <w:rPr>
                <w:rFonts w:ascii="Times New Roman" w:hAnsi="Times New Roman" w:eastAsia="仿宋" w:cs="Times New Roman"/>
                <w:b/>
                <w:sz w:val="24"/>
                <w:szCs w:val="24"/>
              </w:rPr>
            </w:pPr>
          </w:p>
        </w:tc>
        <w:tc>
          <w:tcPr>
            <w:tcW w:w="1557" w:type="dxa"/>
          </w:tcPr>
          <w:p>
            <w:pPr>
              <w:spacing w:line="432" w:lineRule="auto"/>
              <w:jc w:val="center"/>
              <w:rPr>
                <w:rFonts w:ascii="Times New Roman" w:hAnsi="Times New Roman" w:eastAsia="仿宋" w:cs="Times New Roman"/>
                <w:b/>
                <w:sz w:val="24"/>
                <w:szCs w:val="24"/>
              </w:rPr>
            </w:pPr>
          </w:p>
        </w:tc>
        <w:tc>
          <w:tcPr>
            <w:tcW w:w="1241" w:type="dxa"/>
            <w:vAlign w:val="center"/>
          </w:tcPr>
          <w:p>
            <w:pPr>
              <w:spacing w:line="432" w:lineRule="auto"/>
              <w:jc w:val="center"/>
              <w:rPr>
                <w:rFonts w:ascii="Times New Roman" w:hAnsi="Times New Roman" w:eastAsia="仿宋" w:cs="Times New Roman"/>
                <w:b/>
                <w:sz w:val="24"/>
                <w:szCs w:val="24"/>
              </w:rPr>
            </w:pPr>
          </w:p>
        </w:tc>
        <w:tc>
          <w:tcPr>
            <w:tcW w:w="1003" w:type="dxa"/>
            <w:vAlign w:val="center"/>
          </w:tcPr>
          <w:p>
            <w:pPr>
              <w:spacing w:line="432" w:lineRule="auto"/>
              <w:jc w:val="center"/>
              <w:rPr>
                <w:rFonts w:ascii="Times New Roman" w:hAnsi="Times New Roman" w:eastAsia="仿宋" w:cs="Times New Roman"/>
                <w:b/>
                <w:sz w:val="24"/>
                <w:szCs w:val="24"/>
              </w:rPr>
            </w:pPr>
          </w:p>
        </w:tc>
        <w:tc>
          <w:tcPr>
            <w:tcW w:w="1976" w:type="dxa"/>
            <w:vAlign w:val="center"/>
          </w:tcPr>
          <w:p>
            <w:pPr>
              <w:spacing w:line="432" w:lineRule="auto"/>
              <w:jc w:val="center"/>
              <w:rPr>
                <w:rFonts w:ascii="Times New Roman" w:hAnsi="Times New Roman" w:eastAsia="仿宋" w:cs="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blHeader/>
        </w:trPr>
        <w:tc>
          <w:tcPr>
            <w:tcW w:w="877" w:type="dxa"/>
            <w:vAlign w:val="center"/>
          </w:tcPr>
          <w:p>
            <w:pPr>
              <w:spacing w:line="432" w:lineRule="auto"/>
              <w:jc w:val="center"/>
              <w:rPr>
                <w:rFonts w:ascii="Times New Roman" w:hAnsi="Times New Roman" w:eastAsia="仿宋" w:cs="Times New Roman"/>
                <w:b/>
                <w:sz w:val="24"/>
                <w:szCs w:val="24"/>
              </w:rPr>
            </w:pPr>
          </w:p>
        </w:tc>
        <w:tc>
          <w:tcPr>
            <w:tcW w:w="2632" w:type="dxa"/>
            <w:vAlign w:val="center"/>
          </w:tcPr>
          <w:p>
            <w:pPr>
              <w:spacing w:line="432" w:lineRule="auto"/>
              <w:jc w:val="center"/>
              <w:rPr>
                <w:rFonts w:ascii="Times New Roman" w:hAnsi="Times New Roman" w:eastAsia="仿宋" w:cs="Times New Roman"/>
                <w:b/>
                <w:sz w:val="24"/>
                <w:szCs w:val="24"/>
              </w:rPr>
            </w:pPr>
          </w:p>
        </w:tc>
        <w:tc>
          <w:tcPr>
            <w:tcW w:w="1557" w:type="dxa"/>
          </w:tcPr>
          <w:p>
            <w:pPr>
              <w:spacing w:line="432" w:lineRule="auto"/>
              <w:jc w:val="center"/>
              <w:rPr>
                <w:rFonts w:ascii="Times New Roman" w:hAnsi="Times New Roman" w:eastAsia="仿宋" w:cs="Times New Roman"/>
                <w:b/>
                <w:sz w:val="24"/>
                <w:szCs w:val="24"/>
              </w:rPr>
            </w:pPr>
          </w:p>
        </w:tc>
        <w:tc>
          <w:tcPr>
            <w:tcW w:w="1241" w:type="dxa"/>
            <w:vAlign w:val="center"/>
          </w:tcPr>
          <w:p>
            <w:pPr>
              <w:spacing w:line="432" w:lineRule="auto"/>
              <w:jc w:val="center"/>
              <w:rPr>
                <w:rFonts w:ascii="Times New Roman" w:hAnsi="Times New Roman" w:eastAsia="仿宋" w:cs="Times New Roman"/>
                <w:b/>
                <w:sz w:val="24"/>
                <w:szCs w:val="24"/>
              </w:rPr>
            </w:pPr>
          </w:p>
        </w:tc>
        <w:tc>
          <w:tcPr>
            <w:tcW w:w="1003" w:type="dxa"/>
            <w:vAlign w:val="center"/>
          </w:tcPr>
          <w:p>
            <w:pPr>
              <w:spacing w:line="432" w:lineRule="auto"/>
              <w:jc w:val="center"/>
              <w:rPr>
                <w:rFonts w:ascii="Times New Roman" w:hAnsi="Times New Roman" w:eastAsia="仿宋" w:cs="Times New Roman"/>
                <w:b/>
                <w:sz w:val="24"/>
                <w:szCs w:val="24"/>
              </w:rPr>
            </w:pPr>
          </w:p>
        </w:tc>
        <w:tc>
          <w:tcPr>
            <w:tcW w:w="1976" w:type="dxa"/>
            <w:vAlign w:val="center"/>
          </w:tcPr>
          <w:p>
            <w:pPr>
              <w:spacing w:line="432" w:lineRule="auto"/>
              <w:jc w:val="center"/>
              <w:rPr>
                <w:rFonts w:ascii="Times New Roman" w:hAnsi="Times New Roman" w:eastAsia="仿宋" w:cs="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9" w:hRule="atLeast"/>
          <w:tblHeader/>
        </w:trPr>
        <w:tc>
          <w:tcPr>
            <w:tcW w:w="877" w:type="dxa"/>
            <w:vAlign w:val="center"/>
          </w:tcPr>
          <w:p>
            <w:pPr>
              <w:spacing w:line="432" w:lineRule="auto"/>
              <w:jc w:val="center"/>
              <w:rPr>
                <w:rFonts w:ascii="Times New Roman" w:hAnsi="Times New Roman" w:eastAsia="仿宋" w:cs="Times New Roman"/>
                <w:b/>
                <w:sz w:val="24"/>
                <w:szCs w:val="24"/>
              </w:rPr>
            </w:pPr>
          </w:p>
        </w:tc>
        <w:tc>
          <w:tcPr>
            <w:tcW w:w="2632" w:type="dxa"/>
            <w:vAlign w:val="center"/>
          </w:tcPr>
          <w:p>
            <w:pPr>
              <w:spacing w:line="432" w:lineRule="auto"/>
              <w:jc w:val="center"/>
              <w:rPr>
                <w:rFonts w:ascii="Times New Roman" w:hAnsi="Times New Roman" w:eastAsia="仿宋" w:cs="Times New Roman"/>
                <w:b/>
                <w:sz w:val="24"/>
                <w:szCs w:val="24"/>
              </w:rPr>
            </w:pPr>
          </w:p>
        </w:tc>
        <w:tc>
          <w:tcPr>
            <w:tcW w:w="1557" w:type="dxa"/>
          </w:tcPr>
          <w:p>
            <w:pPr>
              <w:spacing w:line="432" w:lineRule="auto"/>
              <w:jc w:val="center"/>
              <w:rPr>
                <w:rFonts w:ascii="Times New Roman" w:hAnsi="Times New Roman" w:eastAsia="仿宋" w:cs="Times New Roman"/>
                <w:b/>
                <w:sz w:val="24"/>
                <w:szCs w:val="24"/>
              </w:rPr>
            </w:pPr>
          </w:p>
        </w:tc>
        <w:tc>
          <w:tcPr>
            <w:tcW w:w="1241" w:type="dxa"/>
            <w:vAlign w:val="center"/>
          </w:tcPr>
          <w:p>
            <w:pPr>
              <w:spacing w:line="432" w:lineRule="auto"/>
              <w:jc w:val="center"/>
              <w:rPr>
                <w:rFonts w:ascii="Times New Roman" w:hAnsi="Times New Roman" w:eastAsia="仿宋" w:cs="Times New Roman"/>
                <w:b/>
                <w:sz w:val="24"/>
                <w:szCs w:val="24"/>
              </w:rPr>
            </w:pPr>
          </w:p>
        </w:tc>
        <w:tc>
          <w:tcPr>
            <w:tcW w:w="1003" w:type="dxa"/>
            <w:vAlign w:val="center"/>
          </w:tcPr>
          <w:p>
            <w:pPr>
              <w:spacing w:line="432" w:lineRule="auto"/>
              <w:jc w:val="center"/>
              <w:rPr>
                <w:rFonts w:ascii="Times New Roman" w:hAnsi="Times New Roman" w:eastAsia="仿宋" w:cs="Times New Roman"/>
                <w:b/>
                <w:sz w:val="24"/>
                <w:szCs w:val="24"/>
              </w:rPr>
            </w:pPr>
          </w:p>
        </w:tc>
        <w:tc>
          <w:tcPr>
            <w:tcW w:w="1976" w:type="dxa"/>
            <w:vAlign w:val="center"/>
          </w:tcPr>
          <w:p>
            <w:pPr>
              <w:spacing w:line="432" w:lineRule="auto"/>
              <w:jc w:val="center"/>
              <w:rPr>
                <w:rFonts w:ascii="Times New Roman" w:hAnsi="Times New Roman" w:eastAsia="仿宋" w:cs="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blHeader/>
        </w:trPr>
        <w:tc>
          <w:tcPr>
            <w:tcW w:w="877" w:type="dxa"/>
            <w:vAlign w:val="center"/>
          </w:tcPr>
          <w:p>
            <w:pPr>
              <w:spacing w:line="432" w:lineRule="auto"/>
              <w:jc w:val="center"/>
              <w:rPr>
                <w:rFonts w:ascii="Times New Roman" w:hAnsi="Times New Roman" w:eastAsia="仿宋" w:cs="Times New Roman"/>
                <w:b/>
                <w:sz w:val="24"/>
                <w:szCs w:val="24"/>
              </w:rPr>
            </w:pPr>
          </w:p>
        </w:tc>
        <w:tc>
          <w:tcPr>
            <w:tcW w:w="2632" w:type="dxa"/>
            <w:vAlign w:val="center"/>
          </w:tcPr>
          <w:p>
            <w:pPr>
              <w:spacing w:line="432" w:lineRule="auto"/>
              <w:jc w:val="center"/>
              <w:rPr>
                <w:rFonts w:ascii="Times New Roman" w:hAnsi="Times New Roman" w:eastAsia="仿宋" w:cs="Times New Roman"/>
                <w:b/>
                <w:sz w:val="24"/>
                <w:szCs w:val="24"/>
              </w:rPr>
            </w:pPr>
          </w:p>
        </w:tc>
        <w:tc>
          <w:tcPr>
            <w:tcW w:w="1557" w:type="dxa"/>
          </w:tcPr>
          <w:p>
            <w:pPr>
              <w:spacing w:line="432" w:lineRule="auto"/>
              <w:jc w:val="center"/>
              <w:rPr>
                <w:rFonts w:ascii="Times New Roman" w:hAnsi="Times New Roman" w:eastAsia="仿宋" w:cs="Times New Roman"/>
                <w:b/>
                <w:sz w:val="24"/>
                <w:szCs w:val="24"/>
              </w:rPr>
            </w:pPr>
          </w:p>
        </w:tc>
        <w:tc>
          <w:tcPr>
            <w:tcW w:w="1241" w:type="dxa"/>
            <w:vAlign w:val="center"/>
          </w:tcPr>
          <w:p>
            <w:pPr>
              <w:spacing w:line="432" w:lineRule="auto"/>
              <w:jc w:val="center"/>
              <w:rPr>
                <w:rFonts w:ascii="Times New Roman" w:hAnsi="Times New Roman" w:eastAsia="仿宋" w:cs="Times New Roman"/>
                <w:b/>
                <w:sz w:val="24"/>
                <w:szCs w:val="24"/>
              </w:rPr>
            </w:pPr>
          </w:p>
        </w:tc>
        <w:tc>
          <w:tcPr>
            <w:tcW w:w="1003" w:type="dxa"/>
            <w:vAlign w:val="center"/>
          </w:tcPr>
          <w:p>
            <w:pPr>
              <w:spacing w:line="432" w:lineRule="auto"/>
              <w:jc w:val="center"/>
              <w:rPr>
                <w:rFonts w:ascii="Times New Roman" w:hAnsi="Times New Roman" w:eastAsia="仿宋" w:cs="Times New Roman"/>
                <w:b/>
                <w:sz w:val="24"/>
                <w:szCs w:val="24"/>
              </w:rPr>
            </w:pPr>
          </w:p>
        </w:tc>
        <w:tc>
          <w:tcPr>
            <w:tcW w:w="1976" w:type="dxa"/>
            <w:vAlign w:val="center"/>
          </w:tcPr>
          <w:p>
            <w:pPr>
              <w:spacing w:line="432" w:lineRule="auto"/>
              <w:jc w:val="center"/>
              <w:rPr>
                <w:rFonts w:ascii="Times New Roman" w:hAnsi="Times New Roman" w:eastAsia="仿宋" w:cs="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blHeader/>
        </w:trPr>
        <w:tc>
          <w:tcPr>
            <w:tcW w:w="877" w:type="dxa"/>
            <w:vAlign w:val="center"/>
          </w:tcPr>
          <w:p>
            <w:pPr>
              <w:spacing w:line="432" w:lineRule="auto"/>
              <w:jc w:val="center"/>
              <w:rPr>
                <w:rFonts w:ascii="Times New Roman" w:hAnsi="Times New Roman" w:eastAsia="仿宋" w:cs="Times New Roman"/>
                <w:b/>
                <w:sz w:val="24"/>
                <w:szCs w:val="24"/>
              </w:rPr>
            </w:pPr>
          </w:p>
        </w:tc>
        <w:tc>
          <w:tcPr>
            <w:tcW w:w="2632" w:type="dxa"/>
            <w:vAlign w:val="center"/>
          </w:tcPr>
          <w:p>
            <w:pPr>
              <w:spacing w:line="432" w:lineRule="auto"/>
              <w:jc w:val="center"/>
              <w:rPr>
                <w:rFonts w:ascii="Times New Roman" w:hAnsi="Times New Roman" w:eastAsia="仿宋" w:cs="Times New Roman"/>
                <w:b/>
                <w:sz w:val="24"/>
                <w:szCs w:val="24"/>
              </w:rPr>
            </w:pPr>
          </w:p>
        </w:tc>
        <w:tc>
          <w:tcPr>
            <w:tcW w:w="1557" w:type="dxa"/>
          </w:tcPr>
          <w:p>
            <w:pPr>
              <w:spacing w:line="432" w:lineRule="auto"/>
              <w:jc w:val="center"/>
              <w:rPr>
                <w:rFonts w:ascii="Times New Roman" w:hAnsi="Times New Roman" w:eastAsia="仿宋" w:cs="Times New Roman"/>
                <w:b/>
                <w:sz w:val="24"/>
                <w:szCs w:val="24"/>
              </w:rPr>
            </w:pPr>
          </w:p>
        </w:tc>
        <w:tc>
          <w:tcPr>
            <w:tcW w:w="1241" w:type="dxa"/>
            <w:vAlign w:val="center"/>
          </w:tcPr>
          <w:p>
            <w:pPr>
              <w:spacing w:line="432" w:lineRule="auto"/>
              <w:jc w:val="center"/>
              <w:rPr>
                <w:rFonts w:ascii="Times New Roman" w:hAnsi="Times New Roman" w:eastAsia="仿宋" w:cs="Times New Roman"/>
                <w:b/>
                <w:sz w:val="24"/>
                <w:szCs w:val="24"/>
              </w:rPr>
            </w:pPr>
          </w:p>
        </w:tc>
        <w:tc>
          <w:tcPr>
            <w:tcW w:w="1003" w:type="dxa"/>
            <w:vAlign w:val="center"/>
          </w:tcPr>
          <w:p>
            <w:pPr>
              <w:spacing w:line="432" w:lineRule="auto"/>
              <w:jc w:val="center"/>
              <w:rPr>
                <w:rFonts w:ascii="Times New Roman" w:hAnsi="Times New Roman" w:eastAsia="仿宋" w:cs="Times New Roman"/>
                <w:b/>
                <w:sz w:val="24"/>
                <w:szCs w:val="24"/>
              </w:rPr>
            </w:pPr>
          </w:p>
        </w:tc>
        <w:tc>
          <w:tcPr>
            <w:tcW w:w="1976" w:type="dxa"/>
            <w:vAlign w:val="center"/>
          </w:tcPr>
          <w:p>
            <w:pPr>
              <w:spacing w:line="432" w:lineRule="auto"/>
              <w:jc w:val="center"/>
              <w:rPr>
                <w:rFonts w:ascii="Times New Roman" w:hAnsi="Times New Roman" w:eastAsia="仿宋" w:cs="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blHeader/>
        </w:trPr>
        <w:tc>
          <w:tcPr>
            <w:tcW w:w="877" w:type="dxa"/>
            <w:vAlign w:val="center"/>
          </w:tcPr>
          <w:p>
            <w:pPr>
              <w:spacing w:line="432" w:lineRule="auto"/>
              <w:jc w:val="center"/>
              <w:rPr>
                <w:rFonts w:ascii="Times New Roman" w:hAnsi="Times New Roman" w:eastAsia="仿宋" w:cs="Times New Roman"/>
                <w:b/>
                <w:sz w:val="24"/>
                <w:szCs w:val="24"/>
              </w:rPr>
            </w:pPr>
          </w:p>
        </w:tc>
        <w:tc>
          <w:tcPr>
            <w:tcW w:w="2632" w:type="dxa"/>
            <w:vAlign w:val="center"/>
          </w:tcPr>
          <w:p>
            <w:pPr>
              <w:spacing w:line="432" w:lineRule="auto"/>
              <w:jc w:val="center"/>
              <w:rPr>
                <w:rFonts w:ascii="Times New Roman" w:hAnsi="Times New Roman" w:eastAsia="仿宋" w:cs="Times New Roman"/>
                <w:b/>
                <w:sz w:val="24"/>
                <w:szCs w:val="24"/>
              </w:rPr>
            </w:pPr>
          </w:p>
        </w:tc>
        <w:tc>
          <w:tcPr>
            <w:tcW w:w="1557" w:type="dxa"/>
          </w:tcPr>
          <w:p>
            <w:pPr>
              <w:spacing w:line="432" w:lineRule="auto"/>
              <w:jc w:val="center"/>
              <w:rPr>
                <w:rFonts w:ascii="Times New Roman" w:hAnsi="Times New Roman" w:eastAsia="仿宋" w:cs="Times New Roman"/>
                <w:b/>
                <w:sz w:val="24"/>
                <w:szCs w:val="24"/>
              </w:rPr>
            </w:pPr>
          </w:p>
        </w:tc>
        <w:tc>
          <w:tcPr>
            <w:tcW w:w="1241" w:type="dxa"/>
            <w:vAlign w:val="center"/>
          </w:tcPr>
          <w:p>
            <w:pPr>
              <w:spacing w:line="432" w:lineRule="auto"/>
              <w:jc w:val="center"/>
              <w:rPr>
                <w:rFonts w:ascii="Times New Roman" w:hAnsi="Times New Roman" w:eastAsia="仿宋" w:cs="Times New Roman"/>
                <w:b/>
                <w:sz w:val="24"/>
                <w:szCs w:val="24"/>
              </w:rPr>
            </w:pPr>
          </w:p>
        </w:tc>
        <w:tc>
          <w:tcPr>
            <w:tcW w:w="1003" w:type="dxa"/>
            <w:vAlign w:val="center"/>
          </w:tcPr>
          <w:p>
            <w:pPr>
              <w:spacing w:line="432" w:lineRule="auto"/>
              <w:jc w:val="center"/>
              <w:rPr>
                <w:rFonts w:ascii="Times New Roman" w:hAnsi="Times New Roman" w:eastAsia="仿宋" w:cs="Times New Roman"/>
                <w:b/>
                <w:sz w:val="24"/>
                <w:szCs w:val="24"/>
              </w:rPr>
            </w:pPr>
          </w:p>
        </w:tc>
        <w:tc>
          <w:tcPr>
            <w:tcW w:w="1976" w:type="dxa"/>
            <w:vAlign w:val="center"/>
          </w:tcPr>
          <w:p>
            <w:pPr>
              <w:spacing w:line="432" w:lineRule="auto"/>
              <w:jc w:val="center"/>
              <w:rPr>
                <w:rFonts w:ascii="Times New Roman" w:hAnsi="Times New Roman" w:eastAsia="仿宋" w:cs="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77" w:type="dxa"/>
          </w:tcPr>
          <w:p>
            <w:pPr>
              <w:spacing w:line="432" w:lineRule="auto"/>
              <w:jc w:val="center"/>
              <w:rPr>
                <w:rFonts w:ascii="Times New Roman" w:hAnsi="Times New Roman" w:eastAsia="仿宋" w:cs="Times New Roman"/>
                <w:b/>
                <w:bCs/>
                <w:sz w:val="24"/>
                <w:szCs w:val="24"/>
              </w:rPr>
            </w:pPr>
          </w:p>
        </w:tc>
        <w:tc>
          <w:tcPr>
            <w:tcW w:w="8409" w:type="dxa"/>
            <w:gridSpan w:val="5"/>
            <w:vAlign w:val="center"/>
          </w:tcPr>
          <w:p>
            <w:pPr>
              <w:spacing w:line="432" w:lineRule="auto"/>
              <w:jc w:val="center"/>
              <w:rPr>
                <w:rFonts w:ascii="Times New Roman" w:hAnsi="Times New Roman" w:eastAsia="仿宋" w:cs="Times New Roman"/>
                <w:sz w:val="24"/>
                <w:szCs w:val="24"/>
              </w:rPr>
            </w:pPr>
            <w:r>
              <w:rPr>
                <w:rFonts w:ascii="Times New Roman" w:hAnsi="Times New Roman" w:eastAsia="仿宋" w:cs="Times New Roman"/>
                <w:b/>
                <w:bCs/>
                <w:sz w:val="24"/>
                <w:szCs w:val="24"/>
              </w:rPr>
              <w:t>合计总价：</w:t>
            </w:r>
            <w:r>
              <w:rPr>
                <w:rFonts w:ascii="Times New Roman" w:hAnsi="Times New Roman" w:eastAsia="仿宋" w:cs="Times New Roman"/>
                <w:sz w:val="24"/>
                <w:szCs w:val="24"/>
              </w:rPr>
              <w:t>__________元（大写：______________）</w:t>
            </w:r>
          </w:p>
        </w:tc>
      </w:tr>
      <w:bookmarkEnd w:id="8"/>
    </w:tbl>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注：投标人应充分理解本项目报价即“包干价”的要求。</w:t>
      </w:r>
    </w:p>
    <w:p>
      <w:pPr>
        <w:spacing w:line="520" w:lineRule="exact"/>
        <w:ind w:firstLine="640" w:firstLineChars="200"/>
        <w:rPr>
          <w:rFonts w:ascii="Times New Roman" w:hAnsi="Times New Roman" w:eastAsia="仿宋" w:cs="Times New Roman"/>
          <w:sz w:val="32"/>
          <w:szCs w:val="28"/>
        </w:rPr>
      </w:pPr>
    </w:p>
    <w:p>
      <w:pPr>
        <w:spacing w:line="520" w:lineRule="exact"/>
        <w:ind w:firstLine="640" w:firstLineChars="200"/>
        <w:rPr>
          <w:rFonts w:ascii="Times New Roman" w:hAnsi="Times New Roman" w:eastAsia="仿宋" w:cs="Times New Roman"/>
          <w:sz w:val="32"/>
          <w:szCs w:val="28"/>
        </w:rPr>
      </w:pPr>
    </w:p>
    <w:p>
      <w:pPr>
        <w:spacing w:line="520" w:lineRule="exact"/>
        <w:ind w:firstLine="3360" w:firstLineChars="1200"/>
        <w:rPr>
          <w:rFonts w:ascii="Times New Roman" w:hAnsi="Times New Roman" w:eastAsia="仿宋" w:cs="Times New Roman"/>
          <w:sz w:val="28"/>
        </w:rPr>
      </w:pPr>
      <w:r>
        <w:rPr>
          <w:rFonts w:ascii="Times New Roman" w:hAnsi="Times New Roman" w:eastAsia="仿宋" w:cs="Times New Roman"/>
          <w:sz w:val="28"/>
        </w:rPr>
        <w:t>投标人：</w:t>
      </w:r>
      <w:r>
        <w:rPr>
          <w:rFonts w:ascii="Times New Roman" w:hAnsi="Times New Roman" w:eastAsia="仿宋" w:cs="Times New Roman"/>
          <w:sz w:val="28"/>
          <w:u w:val="single"/>
        </w:rPr>
        <w:t>（名称和加盖公章）</w:t>
      </w:r>
    </w:p>
    <w:p>
      <w:pPr>
        <w:spacing w:line="520" w:lineRule="exact"/>
        <w:ind w:firstLine="3360" w:firstLineChars="1200"/>
        <w:rPr>
          <w:rFonts w:ascii="Times New Roman" w:hAnsi="Times New Roman" w:eastAsia="仿宋" w:cs="Times New Roman"/>
          <w:sz w:val="28"/>
        </w:rPr>
      </w:pPr>
      <w:r>
        <w:rPr>
          <w:rFonts w:ascii="Times New Roman" w:hAnsi="Times New Roman" w:eastAsia="仿宋" w:cs="Times New Roman"/>
          <w:sz w:val="28"/>
        </w:rPr>
        <w:t>供应商代表：</w:t>
      </w:r>
      <w:r>
        <w:rPr>
          <w:rFonts w:ascii="Times New Roman" w:hAnsi="Times New Roman" w:eastAsia="仿宋" w:cs="Times New Roman"/>
          <w:sz w:val="28"/>
          <w:u w:val="single"/>
        </w:rPr>
        <w:t>（签字）</w:t>
      </w:r>
    </w:p>
    <w:p>
      <w:pPr>
        <w:spacing w:line="520" w:lineRule="exact"/>
        <w:ind w:firstLine="4200" w:firstLineChars="1500"/>
        <w:rPr>
          <w:rFonts w:ascii="Times New Roman" w:hAnsi="Times New Roman" w:eastAsia="仿宋" w:cs="Times New Roman"/>
          <w:sz w:val="28"/>
          <w:u w:val="single"/>
        </w:rPr>
      </w:pPr>
    </w:p>
    <w:p>
      <w:pPr>
        <w:spacing w:line="520" w:lineRule="exact"/>
        <w:jc w:val="right"/>
        <w:rPr>
          <w:rFonts w:ascii="Times New Roman" w:hAnsi="Times New Roman" w:eastAsia="仿宋" w:cs="Times New Roman"/>
          <w:sz w:val="28"/>
        </w:rPr>
      </w:pPr>
      <w:r>
        <w:rPr>
          <w:rFonts w:ascii="Times New Roman" w:hAnsi="Times New Roman" w:eastAsia="仿宋" w:cs="Times New Roman"/>
          <w:sz w:val="28"/>
        </w:rPr>
        <w:t>______年___月___日</w:t>
      </w:r>
    </w:p>
    <w:p>
      <w:pPr>
        <w:widowControl/>
        <w:jc w:val="left"/>
        <w:rPr>
          <w:rFonts w:ascii="Times New Roman" w:hAnsi="Times New Roman" w:eastAsia="仿宋" w:cs="Times New Roman"/>
          <w:b/>
          <w:sz w:val="28"/>
          <w:szCs w:val="28"/>
        </w:rPr>
      </w:pPr>
      <w:r>
        <w:rPr>
          <w:rFonts w:ascii="Times New Roman" w:hAnsi="Times New Roman" w:eastAsia="仿宋" w:cs="Times New Roman"/>
          <w:b/>
          <w:sz w:val="28"/>
          <w:szCs w:val="28"/>
        </w:rPr>
        <w:br w:type="page"/>
      </w:r>
    </w:p>
    <w:p>
      <w:pPr>
        <w:spacing w:line="520" w:lineRule="exact"/>
        <w:jc w:val="center"/>
        <w:rPr>
          <w:rFonts w:ascii="Times New Roman" w:hAnsi="Times New Roman" w:eastAsia="仿宋" w:cs="Times New Roman"/>
          <w:b/>
          <w:sz w:val="30"/>
          <w:szCs w:val="30"/>
        </w:rPr>
      </w:pPr>
      <w:r>
        <w:rPr>
          <w:rFonts w:ascii="Times New Roman" w:hAnsi="Times New Roman" w:eastAsia="仿宋" w:cs="Times New Roman"/>
          <w:b/>
          <w:sz w:val="30"/>
          <w:szCs w:val="30"/>
        </w:rPr>
        <w:t>第二节 商务部分</w:t>
      </w:r>
    </w:p>
    <w:p>
      <w:pPr>
        <w:spacing w:line="520" w:lineRule="exact"/>
        <w:ind w:firstLine="562" w:firstLineChars="200"/>
        <w:rPr>
          <w:rFonts w:ascii="Times New Roman" w:hAnsi="Times New Roman" w:eastAsia="仿宋" w:cs="Times New Roman"/>
          <w:b/>
          <w:sz w:val="28"/>
          <w:szCs w:val="28"/>
        </w:rPr>
      </w:pP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一、投标人的基本情况表</w:t>
      </w:r>
    </w:p>
    <w:tbl>
      <w:tblPr>
        <w:tblStyle w:val="16"/>
        <w:tblW w:w="928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68"/>
        <w:gridCol w:w="1159"/>
        <w:gridCol w:w="869"/>
        <w:gridCol w:w="1411"/>
        <w:gridCol w:w="1411"/>
        <w:gridCol w:w="253"/>
        <w:gridCol w:w="1159"/>
        <w:gridCol w:w="135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8" w:type="dxa"/>
            <w:vAlign w:val="center"/>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投标人名称</w:t>
            </w:r>
          </w:p>
        </w:tc>
        <w:tc>
          <w:tcPr>
            <w:tcW w:w="7618" w:type="dxa"/>
            <w:gridSpan w:val="7"/>
          </w:tcPr>
          <w:p>
            <w:pPr>
              <w:spacing w:line="440" w:lineRule="exact"/>
              <w:jc w:val="center"/>
              <w:rPr>
                <w:rFonts w:ascii="Times New Roman" w:hAnsi="Times New Roman" w:eastAsia="仿宋" w:cs="Times New Roman"/>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8" w:type="dxa"/>
            <w:vAlign w:val="center"/>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注册地址</w:t>
            </w:r>
          </w:p>
        </w:tc>
        <w:tc>
          <w:tcPr>
            <w:tcW w:w="3439" w:type="dxa"/>
            <w:gridSpan w:val="3"/>
          </w:tcPr>
          <w:p>
            <w:pPr>
              <w:spacing w:line="440" w:lineRule="exact"/>
              <w:jc w:val="center"/>
              <w:rPr>
                <w:rFonts w:ascii="Times New Roman" w:hAnsi="Times New Roman" w:eastAsia="仿宋" w:cs="Times New Roman"/>
                <w:sz w:val="24"/>
                <w:szCs w:val="24"/>
              </w:rPr>
            </w:pPr>
          </w:p>
        </w:tc>
        <w:tc>
          <w:tcPr>
            <w:tcW w:w="1411" w:type="dxa"/>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邮政编码</w:t>
            </w:r>
          </w:p>
        </w:tc>
        <w:tc>
          <w:tcPr>
            <w:tcW w:w="2768" w:type="dxa"/>
            <w:gridSpan w:val="3"/>
          </w:tcPr>
          <w:p>
            <w:pPr>
              <w:spacing w:line="440" w:lineRule="exact"/>
              <w:jc w:val="center"/>
              <w:rPr>
                <w:rFonts w:ascii="Times New Roman" w:hAnsi="Times New Roman" w:eastAsia="仿宋" w:cs="Times New Roman"/>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8" w:type="dxa"/>
            <w:vMerge w:val="restart"/>
            <w:vAlign w:val="center"/>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联系方式</w:t>
            </w:r>
          </w:p>
        </w:tc>
        <w:tc>
          <w:tcPr>
            <w:tcW w:w="1159" w:type="dxa"/>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联系人</w:t>
            </w:r>
          </w:p>
        </w:tc>
        <w:tc>
          <w:tcPr>
            <w:tcW w:w="2280" w:type="dxa"/>
            <w:gridSpan w:val="2"/>
          </w:tcPr>
          <w:p>
            <w:pPr>
              <w:spacing w:line="440" w:lineRule="exact"/>
              <w:jc w:val="center"/>
              <w:rPr>
                <w:rFonts w:ascii="Times New Roman" w:hAnsi="Times New Roman" w:eastAsia="仿宋" w:cs="Times New Roman"/>
                <w:sz w:val="24"/>
                <w:szCs w:val="24"/>
              </w:rPr>
            </w:pPr>
          </w:p>
        </w:tc>
        <w:tc>
          <w:tcPr>
            <w:tcW w:w="1411" w:type="dxa"/>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电话</w:t>
            </w:r>
          </w:p>
        </w:tc>
        <w:tc>
          <w:tcPr>
            <w:tcW w:w="2768" w:type="dxa"/>
            <w:gridSpan w:val="3"/>
          </w:tcPr>
          <w:p>
            <w:pPr>
              <w:spacing w:line="440" w:lineRule="exact"/>
              <w:jc w:val="center"/>
              <w:rPr>
                <w:rFonts w:ascii="Times New Roman" w:hAnsi="Times New Roman" w:eastAsia="仿宋" w:cs="Times New Roman"/>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8" w:type="dxa"/>
            <w:vMerge w:val="continue"/>
            <w:vAlign w:val="center"/>
          </w:tcPr>
          <w:p>
            <w:pPr>
              <w:spacing w:line="440" w:lineRule="exact"/>
              <w:jc w:val="center"/>
              <w:rPr>
                <w:rFonts w:ascii="Times New Roman" w:hAnsi="Times New Roman" w:eastAsia="仿宋" w:cs="Times New Roman"/>
                <w:sz w:val="24"/>
                <w:szCs w:val="24"/>
              </w:rPr>
            </w:pPr>
          </w:p>
        </w:tc>
        <w:tc>
          <w:tcPr>
            <w:tcW w:w="1159" w:type="dxa"/>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传真</w:t>
            </w:r>
          </w:p>
        </w:tc>
        <w:tc>
          <w:tcPr>
            <w:tcW w:w="2280" w:type="dxa"/>
            <w:gridSpan w:val="2"/>
          </w:tcPr>
          <w:p>
            <w:pPr>
              <w:spacing w:line="440" w:lineRule="exact"/>
              <w:jc w:val="center"/>
              <w:rPr>
                <w:rFonts w:ascii="Times New Roman" w:hAnsi="Times New Roman" w:eastAsia="仿宋" w:cs="Times New Roman"/>
                <w:sz w:val="24"/>
                <w:szCs w:val="24"/>
              </w:rPr>
            </w:pPr>
          </w:p>
        </w:tc>
        <w:tc>
          <w:tcPr>
            <w:tcW w:w="1411" w:type="dxa"/>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网址</w:t>
            </w:r>
          </w:p>
        </w:tc>
        <w:tc>
          <w:tcPr>
            <w:tcW w:w="2768" w:type="dxa"/>
            <w:gridSpan w:val="3"/>
          </w:tcPr>
          <w:p>
            <w:pPr>
              <w:spacing w:line="440" w:lineRule="exact"/>
              <w:jc w:val="center"/>
              <w:rPr>
                <w:rFonts w:ascii="Times New Roman" w:hAnsi="Times New Roman" w:eastAsia="仿宋" w:cs="Times New Roman"/>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8" w:type="dxa"/>
            <w:vAlign w:val="center"/>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组织结构</w:t>
            </w:r>
          </w:p>
        </w:tc>
        <w:tc>
          <w:tcPr>
            <w:tcW w:w="7618" w:type="dxa"/>
            <w:gridSpan w:val="7"/>
          </w:tcPr>
          <w:p>
            <w:pPr>
              <w:spacing w:line="440" w:lineRule="exact"/>
              <w:jc w:val="center"/>
              <w:rPr>
                <w:rFonts w:ascii="Times New Roman" w:hAnsi="Times New Roman" w:eastAsia="仿宋" w:cs="Times New Roman"/>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8" w:type="dxa"/>
            <w:vAlign w:val="center"/>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法定代表人</w:t>
            </w:r>
          </w:p>
        </w:tc>
        <w:tc>
          <w:tcPr>
            <w:tcW w:w="1159" w:type="dxa"/>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姓名</w:t>
            </w:r>
          </w:p>
        </w:tc>
        <w:tc>
          <w:tcPr>
            <w:tcW w:w="869" w:type="dxa"/>
          </w:tcPr>
          <w:p>
            <w:pPr>
              <w:spacing w:line="440" w:lineRule="exact"/>
              <w:jc w:val="center"/>
              <w:rPr>
                <w:rFonts w:ascii="Times New Roman" w:hAnsi="Times New Roman" w:eastAsia="仿宋" w:cs="Times New Roman"/>
                <w:sz w:val="24"/>
                <w:szCs w:val="24"/>
              </w:rPr>
            </w:pPr>
          </w:p>
        </w:tc>
        <w:tc>
          <w:tcPr>
            <w:tcW w:w="1411" w:type="dxa"/>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技术职称</w:t>
            </w:r>
          </w:p>
        </w:tc>
        <w:tc>
          <w:tcPr>
            <w:tcW w:w="1411" w:type="dxa"/>
          </w:tcPr>
          <w:p>
            <w:pPr>
              <w:spacing w:line="440" w:lineRule="exact"/>
              <w:jc w:val="center"/>
              <w:rPr>
                <w:rFonts w:ascii="Times New Roman" w:hAnsi="Times New Roman" w:eastAsia="仿宋" w:cs="Times New Roman"/>
                <w:sz w:val="24"/>
                <w:szCs w:val="24"/>
              </w:rPr>
            </w:pPr>
          </w:p>
        </w:tc>
        <w:tc>
          <w:tcPr>
            <w:tcW w:w="1412" w:type="dxa"/>
            <w:gridSpan w:val="2"/>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电话</w:t>
            </w:r>
          </w:p>
        </w:tc>
        <w:tc>
          <w:tcPr>
            <w:tcW w:w="1356" w:type="dxa"/>
          </w:tcPr>
          <w:p>
            <w:pPr>
              <w:spacing w:line="440" w:lineRule="exact"/>
              <w:jc w:val="center"/>
              <w:rPr>
                <w:rFonts w:ascii="Times New Roman" w:hAnsi="Times New Roman" w:eastAsia="仿宋" w:cs="Times New Roman"/>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8" w:type="dxa"/>
            <w:vAlign w:val="center"/>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技术负责人</w:t>
            </w:r>
          </w:p>
        </w:tc>
        <w:tc>
          <w:tcPr>
            <w:tcW w:w="1159" w:type="dxa"/>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姓名</w:t>
            </w:r>
          </w:p>
        </w:tc>
        <w:tc>
          <w:tcPr>
            <w:tcW w:w="869" w:type="dxa"/>
          </w:tcPr>
          <w:p>
            <w:pPr>
              <w:spacing w:line="440" w:lineRule="exact"/>
              <w:jc w:val="center"/>
              <w:rPr>
                <w:rFonts w:ascii="Times New Roman" w:hAnsi="Times New Roman" w:eastAsia="仿宋" w:cs="Times New Roman"/>
                <w:sz w:val="24"/>
                <w:szCs w:val="24"/>
              </w:rPr>
            </w:pPr>
          </w:p>
        </w:tc>
        <w:tc>
          <w:tcPr>
            <w:tcW w:w="1411" w:type="dxa"/>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技术职称</w:t>
            </w:r>
          </w:p>
        </w:tc>
        <w:tc>
          <w:tcPr>
            <w:tcW w:w="1411" w:type="dxa"/>
          </w:tcPr>
          <w:p>
            <w:pPr>
              <w:spacing w:line="440" w:lineRule="exact"/>
              <w:jc w:val="center"/>
              <w:rPr>
                <w:rFonts w:ascii="Times New Roman" w:hAnsi="Times New Roman" w:eastAsia="仿宋" w:cs="Times New Roman"/>
                <w:sz w:val="24"/>
                <w:szCs w:val="24"/>
              </w:rPr>
            </w:pPr>
          </w:p>
        </w:tc>
        <w:tc>
          <w:tcPr>
            <w:tcW w:w="1412" w:type="dxa"/>
            <w:gridSpan w:val="2"/>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电话</w:t>
            </w:r>
          </w:p>
        </w:tc>
        <w:tc>
          <w:tcPr>
            <w:tcW w:w="1356" w:type="dxa"/>
          </w:tcPr>
          <w:p>
            <w:pPr>
              <w:spacing w:line="440" w:lineRule="exact"/>
              <w:jc w:val="center"/>
              <w:rPr>
                <w:rFonts w:ascii="Times New Roman" w:hAnsi="Times New Roman" w:eastAsia="仿宋" w:cs="Times New Roman"/>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8" w:type="dxa"/>
            <w:vAlign w:val="center"/>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成立时间</w:t>
            </w:r>
          </w:p>
        </w:tc>
        <w:tc>
          <w:tcPr>
            <w:tcW w:w="2028" w:type="dxa"/>
            <w:gridSpan w:val="2"/>
          </w:tcPr>
          <w:p>
            <w:pPr>
              <w:spacing w:line="440" w:lineRule="exact"/>
              <w:jc w:val="center"/>
              <w:rPr>
                <w:rFonts w:ascii="Times New Roman" w:hAnsi="Times New Roman" w:eastAsia="仿宋" w:cs="Times New Roman"/>
                <w:sz w:val="24"/>
                <w:szCs w:val="24"/>
              </w:rPr>
            </w:pPr>
          </w:p>
        </w:tc>
        <w:tc>
          <w:tcPr>
            <w:tcW w:w="5590" w:type="dxa"/>
            <w:gridSpan w:val="5"/>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员工总人数：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8" w:type="dxa"/>
            <w:vAlign w:val="center"/>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企业资质等级</w:t>
            </w:r>
          </w:p>
        </w:tc>
        <w:tc>
          <w:tcPr>
            <w:tcW w:w="2028" w:type="dxa"/>
            <w:gridSpan w:val="2"/>
          </w:tcPr>
          <w:p>
            <w:pPr>
              <w:spacing w:line="440" w:lineRule="exact"/>
              <w:jc w:val="center"/>
              <w:rPr>
                <w:rFonts w:ascii="Times New Roman" w:hAnsi="Times New Roman" w:eastAsia="仿宋" w:cs="Times New Roman"/>
                <w:sz w:val="24"/>
                <w:szCs w:val="24"/>
              </w:rPr>
            </w:pPr>
          </w:p>
        </w:tc>
        <w:tc>
          <w:tcPr>
            <w:tcW w:w="1411" w:type="dxa"/>
            <w:vMerge w:val="restart"/>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其中</w:t>
            </w:r>
          </w:p>
        </w:tc>
        <w:tc>
          <w:tcPr>
            <w:tcW w:w="1664" w:type="dxa"/>
            <w:gridSpan w:val="2"/>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项目经理</w:t>
            </w:r>
          </w:p>
        </w:tc>
        <w:tc>
          <w:tcPr>
            <w:tcW w:w="2515" w:type="dxa"/>
            <w:gridSpan w:val="2"/>
          </w:tcPr>
          <w:p>
            <w:pPr>
              <w:spacing w:line="440" w:lineRule="exact"/>
              <w:jc w:val="center"/>
              <w:rPr>
                <w:rFonts w:ascii="Times New Roman" w:hAnsi="Times New Roman" w:eastAsia="仿宋" w:cs="Times New Roman"/>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8" w:type="dxa"/>
            <w:vAlign w:val="center"/>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营业执照号</w:t>
            </w:r>
          </w:p>
        </w:tc>
        <w:tc>
          <w:tcPr>
            <w:tcW w:w="2028" w:type="dxa"/>
            <w:gridSpan w:val="2"/>
          </w:tcPr>
          <w:p>
            <w:pPr>
              <w:spacing w:line="440" w:lineRule="exact"/>
              <w:jc w:val="center"/>
              <w:rPr>
                <w:rFonts w:ascii="Times New Roman" w:hAnsi="Times New Roman" w:eastAsia="仿宋" w:cs="Times New Roman"/>
                <w:sz w:val="24"/>
                <w:szCs w:val="24"/>
              </w:rPr>
            </w:pPr>
          </w:p>
        </w:tc>
        <w:tc>
          <w:tcPr>
            <w:tcW w:w="1411" w:type="dxa"/>
            <w:vMerge w:val="continue"/>
          </w:tcPr>
          <w:p>
            <w:pPr>
              <w:spacing w:line="440" w:lineRule="exact"/>
              <w:rPr>
                <w:rFonts w:ascii="Times New Roman" w:hAnsi="Times New Roman" w:eastAsia="仿宋" w:cs="Times New Roman"/>
                <w:sz w:val="24"/>
                <w:szCs w:val="24"/>
              </w:rPr>
            </w:pPr>
          </w:p>
        </w:tc>
        <w:tc>
          <w:tcPr>
            <w:tcW w:w="1664" w:type="dxa"/>
            <w:gridSpan w:val="2"/>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高级职称人员</w:t>
            </w:r>
          </w:p>
        </w:tc>
        <w:tc>
          <w:tcPr>
            <w:tcW w:w="2515" w:type="dxa"/>
            <w:gridSpan w:val="2"/>
          </w:tcPr>
          <w:p>
            <w:pPr>
              <w:spacing w:line="440" w:lineRule="exact"/>
              <w:jc w:val="center"/>
              <w:rPr>
                <w:rFonts w:ascii="Times New Roman" w:hAnsi="Times New Roman" w:eastAsia="仿宋" w:cs="Times New Roman"/>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8" w:type="dxa"/>
            <w:vAlign w:val="center"/>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注册资金</w:t>
            </w:r>
          </w:p>
        </w:tc>
        <w:tc>
          <w:tcPr>
            <w:tcW w:w="2028" w:type="dxa"/>
            <w:gridSpan w:val="2"/>
          </w:tcPr>
          <w:p>
            <w:pPr>
              <w:spacing w:line="440" w:lineRule="exact"/>
              <w:jc w:val="center"/>
              <w:rPr>
                <w:rFonts w:ascii="Times New Roman" w:hAnsi="Times New Roman" w:eastAsia="仿宋" w:cs="Times New Roman"/>
                <w:sz w:val="24"/>
                <w:szCs w:val="24"/>
              </w:rPr>
            </w:pPr>
          </w:p>
        </w:tc>
        <w:tc>
          <w:tcPr>
            <w:tcW w:w="1411" w:type="dxa"/>
            <w:vMerge w:val="continue"/>
          </w:tcPr>
          <w:p>
            <w:pPr>
              <w:spacing w:line="440" w:lineRule="exact"/>
              <w:rPr>
                <w:rFonts w:ascii="Times New Roman" w:hAnsi="Times New Roman" w:eastAsia="仿宋" w:cs="Times New Roman"/>
                <w:sz w:val="24"/>
                <w:szCs w:val="24"/>
              </w:rPr>
            </w:pPr>
          </w:p>
        </w:tc>
        <w:tc>
          <w:tcPr>
            <w:tcW w:w="1664" w:type="dxa"/>
            <w:gridSpan w:val="2"/>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中级职称人员</w:t>
            </w:r>
          </w:p>
        </w:tc>
        <w:tc>
          <w:tcPr>
            <w:tcW w:w="2515" w:type="dxa"/>
            <w:gridSpan w:val="2"/>
          </w:tcPr>
          <w:p>
            <w:pPr>
              <w:spacing w:line="440" w:lineRule="exact"/>
              <w:jc w:val="center"/>
              <w:rPr>
                <w:rFonts w:ascii="Times New Roman" w:hAnsi="Times New Roman" w:eastAsia="仿宋" w:cs="Times New Roman"/>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8" w:type="dxa"/>
            <w:vAlign w:val="center"/>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开户银行</w:t>
            </w:r>
          </w:p>
        </w:tc>
        <w:tc>
          <w:tcPr>
            <w:tcW w:w="2028" w:type="dxa"/>
            <w:gridSpan w:val="2"/>
          </w:tcPr>
          <w:p>
            <w:pPr>
              <w:spacing w:line="440" w:lineRule="exact"/>
              <w:jc w:val="center"/>
              <w:rPr>
                <w:rFonts w:ascii="Times New Roman" w:hAnsi="Times New Roman" w:eastAsia="仿宋" w:cs="Times New Roman"/>
                <w:sz w:val="24"/>
                <w:szCs w:val="24"/>
              </w:rPr>
            </w:pPr>
          </w:p>
        </w:tc>
        <w:tc>
          <w:tcPr>
            <w:tcW w:w="1411" w:type="dxa"/>
            <w:vMerge w:val="continue"/>
          </w:tcPr>
          <w:p>
            <w:pPr>
              <w:spacing w:line="440" w:lineRule="exact"/>
              <w:rPr>
                <w:rFonts w:ascii="Times New Roman" w:hAnsi="Times New Roman" w:eastAsia="仿宋" w:cs="Times New Roman"/>
                <w:sz w:val="24"/>
                <w:szCs w:val="24"/>
              </w:rPr>
            </w:pPr>
          </w:p>
        </w:tc>
        <w:tc>
          <w:tcPr>
            <w:tcW w:w="1664" w:type="dxa"/>
            <w:gridSpan w:val="2"/>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初级职称人员</w:t>
            </w:r>
          </w:p>
        </w:tc>
        <w:tc>
          <w:tcPr>
            <w:tcW w:w="2515" w:type="dxa"/>
            <w:gridSpan w:val="2"/>
          </w:tcPr>
          <w:p>
            <w:pPr>
              <w:spacing w:line="440" w:lineRule="exact"/>
              <w:jc w:val="center"/>
              <w:rPr>
                <w:rFonts w:ascii="Times New Roman" w:hAnsi="Times New Roman" w:eastAsia="仿宋" w:cs="Times New Roman"/>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8" w:type="dxa"/>
            <w:vAlign w:val="center"/>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账号</w:t>
            </w:r>
          </w:p>
        </w:tc>
        <w:tc>
          <w:tcPr>
            <w:tcW w:w="2028" w:type="dxa"/>
            <w:gridSpan w:val="2"/>
          </w:tcPr>
          <w:p>
            <w:pPr>
              <w:spacing w:line="440" w:lineRule="exact"/>
              <w:jc w:val="center"/>
              <w:rPr>
                <w:rFonts w:ascii="Times New Roman" w:hAnsi="Times New Roman" w:eastAsia="仿宋" w:cs="Times New Roman"/>
                <w:sz w:val="24"/>
                <w:szCs w:val="24"/>
              </w:rPr>
            </w:pPr>
          </w:p>
        </w:tc>
        <w:tc>
          <w:tcPr>
            <w:tcW w:w="1411" w:type="dxa"/>
            <w:vMerge w:val="continue"/>
          </w:tcPr>
          <w:p>
            <w:pPr>
              <w:spacing w:line="440" w:lineRule="exact"/>
              <w:rPr>
                <w:rFonts w:ascii="Times New Roman" w:hAnsi="Times New Roman" w:eastAsia="仿宋" w:cs="Times New Roman"/>
                <w:sz w:val="24"/>
                <w:szCs w:val="24"/>
              </w:rPr>
            </w:pPr>
          </w:p>
        </w:tc>
        <w:tc>
          <w:tcPr>
            <w:tcW w:w="1664" w:type="dxa"/>
            <w:gridSpan w:val="2"/>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技工</w:t>
            </w:r>
          </w:p>
        </w:tc>
        <w:tc>
          <w:tcPr>
            <w:tcW w:w="2515" w:type="dxa"/>
            <w:gridSpan w:val="2"/>
          </w:tcPr>
          <w:p>
            <w:pPr>
              <w:spacing w:line="440" w:lineRule="exact"/>
              <w:jc w:val="center"/>
              <w:rPr>
                <w:rFonts w:ascii="Times New Roman" w:hAnsi="Times New Roman" w:eastAsia="仿宋" w:cs="Times New Roman"/>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8" w:type="dxa"/>
            <w:vAlign w:val="center"/>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经营范围</w:t>
            </w:r>
          </w:p>
        </w:tc>
        <w:tc>
          <w:tcPr>
            <w:tcW w:w="7618" w:type="dxa"/>
            <w:gridSpan w:val="7"/>
          </w:tcPr>
          <w:p>
            <w:pPr>
              <w:spacing w:line="440" w:lineRule="exact"/>
              <w:jc w:val="center"/>
              <w:rPr>
                <w:rFonts w:ascii="Times New Roman" w:hAnsi="Times New Roman" w:eastAsia="仿宋" w:cs="Times New Roman"/>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8" w:type="dxa"/>
            <w:vAlign w:val="center"/>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备注</w:t>
            </w:r>
          </w:p>
        </w:tc>
        <w:tc>
          <w:tcPr>
            <w:tcW w:w="7618" w:type="dxa"/>
            <w:gridSpan w:val="7"/>
          </w:tcPr>
          <w:p>
            <w:pPr>
              <w:spacing w:line="440" w:lineRule="exact"/>
              <w:jc w:val="center"/>
              <w:rPr>
                <w:rFonts w:ascii="Times New Roman" w:hAnsi="Times New Roman" w:eastAsia="仿宋" w:cs="Times New Roman"/>
                <w:sz w:val="24"/>
                <w:szCs w:val="24"/>
              </w:rPr>
            </w:pPr>
          </w:p>
        </w:tc>
      </w:tr>
    </w:tbl>
    <w:p>
      <w:pPr>
        <w:spacing w:line="520" w:lineRule="exact"/>
        <w:ind w:firstLine="3360" w:firstLineChars="1200"/>
        <w:rPr>
          <w:rFonts w:ascii="Times New Roman" w:hAnsi="Times New Roman" w:eastAsia="仿宋" w:cs="Times New Roman"/>
          <w:sz w:val="28"/>
        </w:rPr>
      </w:pPr>
    </w:p>
    <w:p>
      <w:pPr>
        <w:spacing w:line="520" w:lineRule="exact"/>
        <w:ind w:firstLine="3360" w:firstLineChars="1200"/>
        <w:rPr>
          <w:rFonts w:ascii="Times New Roman" w:hAnsi="Times New Roman" w:eastAsia="仿宋" w:cs="Times New Roman"/>
          <w:sz w:val="28"/>
        </w:rPr>
      </w:pPr>
      <w:r>
        <w:rPr>
          <w:rFonts w:ascii="Times New Roman" w:hAnsi="Times New Roman" w:eastAsia="仿宋" w:cs="Times New Roman"/>
          <w:sz w:val="28"/>
        </w:rPr>
        <w:t>投标人：</w:t>
      </w:r>
      <w:r>
        <w:rPr>
          <w:rFonts w:ascii="Times New Roman" w:hAnsi="Times New Roman" w:eastAsia="仿宋" w:cs="Times New Roman"/>
          <w:sz w:val="28"/>
          <w:u w:val="single"/>
        </w:rPr>
        <w:t>（名称和加盖公章）</w:t>
      </w:r>
    </w:p>
    <w:p>
      <w:pPr>
        <w:spacing w:line="520" w:lineRule="exact"/>
        <w:ind w:firstLine="3360" w:firstLineChars="1200"/>
        <w:rPr>
          <w:rFonts w:ascii="Times New Roman" w:hAnsi="Times New Roman" w:eastAsia="仿宋" w:cs="Times New Roman"/>
          <w:sz w:val="28"/>
        </w:rPr>
      </w:pPr>
      <w:r>
        <w:rPr>
          <w:rFonts w:ascii="Times New Roman" w:hAnsi="Times New Roman" w:eastAsia="仿宋" w:cs="Times New Roman"/>
          <w:sz w:val="28"/>
        </w:rPr>
        <w:t>供应商代表：</w:t>
      </w:r>
      <w:r>
        <w:rPr>
          <w:rFonts w:ascii="Times New Roman" w:hAnsi="Times New Roman" w:eastAsia="仿宋" w:cs="Times New Roman"/>
          <w:sz w:val="28"/>
          <w:u w:val="single"/>
        </w:rPr>
        <w:t>（签字）</w:t>
      </w:r>
    </w:p>
    <w:p>
      <w:pPr>
        <w:spacing w:line="520" w:lineRule="exact"/>
        <w:ind w:firstLine="4200" w:firstLineChars="1500"/>
        <w:rPr>
          <w:rFonts w:ascii="Times New Roman" w:hAnsi="Times New Roman" w:eastAsia="仿宋" w:cs="Times New Roman"/>
          <w:sz w:val="28"/>
          <w:u w:val="single"/>
        </w:rPr>
      </w:pPr>
    </w:p>
    <w:p>
      <w:pPr>
        <w:spacing w:line="520" w:lineRule="exact"/>
        <w:jc w:val="right"/>
        <w:rPr>
          <w:rFonts w:ascii="Times New Roman" w:hAnsi="Times New Roman" w:eastAsia="仿宋" w:cs="Times New Roman"/>
          <w:sz w:val="28"/>
        </w:rPr>
      </w:pPr>
      <w:r>
        <w:rPr>
          <w:rFonts w:ascii="Times New Roman" w:hAnsi="Times New Roman" w:eastAsia="仿宋" w:cs="Times New Roman"/>
          <w:sz w:val="28"/>
        </w:rPr>
        <w:t>______年___月___日</w:t>
      </w:r>
    </w:p>
    <w:p>
      <w:pPr>
        <w:spacing w:line="520" w:lineRule="exact"/>
        <w:jc w:val="right"/>
        <w:rPr>
          <w:rFonts w:ascii="Times New Roman" w:hAnsi="Times New Roman" w:eastAsia="仿宋" w:cs="Times New Roman"/>
          <w:sz w:val="28"/>
        </w:rPr>
      </w:pPr>
    </w:p>
    <w:p>
      <w:pPr>
        <w:spacing w:line="520" w:lineRule="exact"/>
        <w:ind w:firstLine="562" w:firstLineChars="200"/>
        <w:rPr>
          <w:rFonts w:ascii="Times New Roman" w:hAnsi="Times New Roman" w:eastAsia="仿宋" w:cs="Times New Roman"/>
          <w:b/>
          <w:sz w:val="28"/>
          <w:szCs w:val="28"/>
        </w:rPr>
      </w:pP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二、执行产品价格扣除的有关材料</w:t>
      </w: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（一）中小企业声明函</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本公司郑重声明，根据《政府采购促进中小企业发展暂行办法》（财库〔2011〕181号）的规定，本公司为___型（请填写：中型、小型、微型）企业。即，本公司同时满足以下条件：</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1.根据《工业和信息化部、国家统计局、国家发展和改革委员会、财政部关于印发中小企业划型标准规定的通知（工信部联企业〔2011〕300号）规定的划分标准，本公司为_____（请填写：中型、小型、微型）企业。</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2.本公司参加“___________”项目采购活动提供本企业制造的货物，或者提供其他______（请填写：中型、小型、微型）企业制造的货物。本条所称货物不包括使用大型企业注册商标的货物。</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本公司对上述声明的真实性负责。如有虚假，将依法承担相应责任。</w:t>
      </w:r>
    </w:p>
    <w:p>
      <w:pPr>
        <w:spacing w:line="520" w:lineRule="exact"/>
        <w:ind w:firstLine="560" w:firstLineChars="200"/>
        <w:rPr>
          <w:rFonts w:ascii="Times New Roman" w:hAnsi="Times New Roman" w:eastAsia="仿宋" w:cs="Times New Roman"/>
          <w:sz w:val="28"/>
          <w:szCs w:val="28"/>
        </w:rPr>
      </w:pP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附：属小型、微型企业生产的投标产品清单</w:t>
      </w:r>
    </w:p>
    <w:tbl>
      <w:tblPr>
        <w:tblStyle w:val="16"/>
        <w:tblW w:w="928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53"/>
        <w:gridCol w:w="1608"/>
        <w:gridCol w:w="1608"/>
        <w:gridCol w:w="1608"/>
        <w:gridCol w:w="951"/>
        <w:gridCol w:w="951"/>
        <w:gridCol w:w="160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79" w:hRule="atLeast"/>
        </w:trPr>
        <w:tc>
          <w:tcPr>
            <w:tcW w:w="953" w:type="dxa"/>
          </w:tcPr>
          <w:p>
            <w:pPr>
              <w:spacing w:line="300" w:lineRule="auto"/>
              <w:jc w:val="center"/>
              <w:rPr>
                <w:rFonts w:ascii="Times New Roman" w:hAnsi="Times New Roman" w:eastAsia="仿宋" w:cs="Times New Roman"/>
                <w:b/>
                <w:sz w:val="24"/>
                <w:szCs w:val="28"/>
              </w:rPr>
            </w:pPr>
            <w:r>
              <w:rPr>
                <w:rFonts w:ascii="Times New Roman" w:hAnsi="Times New Roman" w:eastAsia="仿宋" w:cs="Times New Roman"/>
                <w:b/>
                <w:sz w:val="24"/>
                <w:szCs w:val="28"/>
              </w:rPr>
              <w:t>序号</w:t>
            </w:r>
          </w:p>
        </w:tc>
        <w:tc>
          <w:tcPr>
            <w:tcW w:w="1608" w:type="dxa"/>
          </w:tcPr>
          <w:p>
            <w:pPr>
              <w:spacing w:line="300" w:lineRule="auto"/>
              <w:jc w:val="center"/>
              <w:rPr>
                <w:rFonts w:ascii="Times New Roman" w:hAnsi="Times New Roman" w:eastAsia="仿宋" w:cs="Times New Roman"/>
                <w:b/>
                <w:sz w:val="24"/>
                <w:szCs w:val="28"/>
              </w:rPr>
            </w:pPr>
            <w:r>
              <w:rPr>
                <w:rFonts w:ascii="Times New Roman" w:hAnsi="Times New Roman" w:eastAsia="仿宋" w:cs="Times New Roman"/>
                <w:b/>
                <w:sz w:val="24"/>
                <w:szCs w:val="28"/>
              </w:rPr>
              <w:t>产品名称</w:t>
            </w:r>
          </w:p>
        </w:tc>
        <w:tc>
          <w:tcPr>
            <w:tcW w:w="1608" w:type="dxa"/>
          </w:tcPr>
          <w:p>
            <w:pPr>
              <w:spacing w:line="300" w:lineRule="auto"/>
              <w:jc w:val="center"/>
              <w:rPr>
                <w:rFonts w:ascii="Times New Roman" w:hAnsi="Times New Roman" w:eastAsia="仿宋" w:cs="Times New Roman"/>
                <w:b/>
                <w:sz w:val="24"/>
                <w:szCs w:val="28"/>
              </w:rPr>
            </w:pPr>
            <w:r>
              <w:rPr>
                <w:rFonts w:ascii="Times New Roman" w:hAnsi="Times New Roman" w:eastAsia="仿宋" w:cs="Times New Roman"/>
                <w:b/>
                <w:sz w:val="24"/>
                <w:szCs w:val="28"/>
              </w:rPr>
              <w:t>品牌型号</w:t>
            </w:r>
          </w:p>
        </w:tc>
        <w:tc>
          <w:tcPr>
            <w:tcW w:w="1608" w:type="dxa"/>
          </w:tcPr>
          <w:p>
            <w:pPr>
              <w:spacing w:line="300" w:lineRule="auto"/>
              <w:jc w:val="center"/>
              <w:rPr>
                <w:rFonts w:ascii="Times New Roman" w:hAnsi="Times New Roman" w:eastAsia="仿宋" w:cs="Times New Roman"/>
                <w:b/>
                <w:sz w:val="24"/>
                <w:szCs w:val="28"/>
              </w:rPr>
            </w:pPr>
            <w:r>
              <w:rPr>
                <w:rFonts w:ascii="Times New Roman" w:hAnsi="Times New Roman" w:eastAsia="仿宋" w:cs="Times New Roman"/>
                <w:b/>
                <w:sz w:val="24"/>
                <w:szCs w:val="28"/>
              </w:rPr>
              <w:t>生产厂商</w:t>
            </w:r>
          </w:p>
        </w:tc>
        <w:tc>
          <w:tcPr>
            <w:tcW w:w="951" w:type="dxa"/>
          </w:tcPr>
          <w:p>
            <w:pPr>
              <w:spacing w:line="300" w:lineRule="auto"/>
              <w:jc w:val="center"/>
              <w:rPr>
                <w:rFonts w:ascii="Times New Roman" w:hAnsi="Times New Roman" w:eastAsia="仿宋" w:cs="Times New Roman"/>
                <w:b/>
                <w:sz w:val="24"/>
                <w:szCs w:val="28"/>
              </w:rPr>
            </w:pPr>
            <w:r>
              <w:rPr>
                <w:rFonts w:ascii="Times New Roman" w:hAnsi="Times New Roman" w:eastAsia="仿宋" w:cs="Times New Roman"/>
                <w:b/>
                <w:sz w:val="24"/>
                <w:szCs w:val="28"/>
              </w:rPr>
              <w:t>数量</w:t>
            </w:r>
          </w:p>
        </w:tc>
        <w:tc>
          <w:tcPr>
            <w:tcW w:w="951" w:type="dxa"/>
          </w:tcPr>
          <w:p>
            <w:pPr>
              <w:spacing w:line="300" w:lineRule="auto"/>
              <w:jc w:val="center"/>
              <w:rPr>
                <w:rFonts w:ascii="Times New Roman" w:hAnsi="Times New Roman" w:eastAsia="仿宋" w:cs="Times New Roman"/>
                <w:b/>
                <w:sz w:val="24"/>
                <w:szCs w:val="28"/>
              </w:rPr>
            </w:pPr>
            <w:r>
              <w:rPr>
                <w:rFonts w:ascii="Times New Roman" w:hAnsi="Times New Roman" w:eastAsia="仿宋" w:cs="Times New Roman"/>
                <w:b/>
                <w:sz w:val="24"/>
                <w:szCs w:val="28"/>
              </w:rPr>
              <w:t>单价</w:t>
            </w:r>
          </w:p>
        </w:tc>
        <w:tc>
          <w:tcPr>
            <w:tcW w:w="1607" w:type="dxa"/>
          </w:tcPr>
          <w:p>
            <w:pPr>
              <w:spacing w:line="300" w:lineRule="auto"/>
              <w:jc w:val="center"/>
              <w:rPr>
                <w:rFonts w:ascii="Times New Roman" w:hAnsi="Times New Roman" w:eastAsia="仿宋" w:cs="Times New Roman"/>
                <w:b/>
                <w:sz w:val="24"/>
                <w:szCs w:val="28"/>
              </w:rPr>
            </w:pPr>
            <w:r>
              <w:rPr>
                <w:rFonts w:ascii="Times New Roman" w:hAnsi="Times New Roman" w:eastAsia="仿宋" w:cs="Times New Roman"/>
                <w:b/>
                <w:sz w:val="24"/>
                <w:szCs w:val="28"/>
              </w:rPr>
              <w:t>分项价格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79" w:hRule="atLeast"/>
        </w:trPr>
        <w:tc>
          <w:tcPr>
            <w:tcW w:w="953" w:type="dxa"/>
            <w:vAlign w:val="center"/>
          </w:tcPr>
          <w:p>
            <w:pPr>
              <w:spacing w:line="300" w:lineRule="auto"/>
              <w:jc w:val="center"/>
              <w:rPr>
                <w:rFonts w:ascii="Times New Roman" w:hAnsi="Times New Roman" w:eastAsia="仿宋" w:cs="Times New Roman"/>
                <w:sz w:val="24"/>
                <w:szCs w:val="28"/>
              </w:rPr>
            </w:pPr>
          </w:p>
        </w:tc>
        <w:tc>
          <w:tcPr>
            <w:tcW w:w="1608" w:type="dxa"/>
            <w:vAlign w:val="center"/>
          </w:tcPr>
          <w:p>
            <w:pPr>
              <w:spacing w:line="300" w:lineRule="auto"/>
              <w:jc w:val="center"/>
              <w:rPr>
                <w:rFonts w:ascii="Times New Roman" w:hAnsi="Times New Roman" w:eastAsia="仿宋" w:cs="Times New Roman"/>
                <w:sz w:val="24"/>
                <w:szCs w:val="28"/>
              </w:rPr>
            </w:pPr>
          </w:p>
        </w:tc>
        <w:tc>
          <w:tcPr>
            <w:tcW w:w="1608" w:type="dxa"/>
            <w:vAlign w:val="center"/>
          </w:tcPr>
          <w:p>
            <w:pPr>
              <w:spacing w:line="300" w:lineRule="auto"/>
              <w:jc w:val="center"/>
              <w:rPr>
                <w:rFonts w:ascii="Times New Roman" w:hAnsi="Times New Roman" w:eastAsia="仿宋" w:cs="Times New Roman"/>
                <w:sz w:val="24"/>
                <w:szCs w:val="28"/>
              </w:rPr>
            </w:pPr>
          </w:p>
        </w:tc>
        <w:tc>
          <w:tcPr>
            <w:tcW w:w="1608" w:type="dxa"/>
            <w:vAlign w:val="center"/>
          </w:tcPr>
          <w:p>
            <w:pPr>
              <w:spacing w:line="300" w:lineRule="auto"/>
              <w:jc w:val="center"/>
              <w:rPr>
                <w:rFonts w:ascii="Times New Roman" w:hAnsi="Times New Roman" w:eastAsia="仿宋" w:cs="Times New Roman"/>
                <w:sz w:val="24"/>
                <w:szCs w:val="28"/>
              </w:rPr>
            </w:pPr>
          </w:p>
        </w:tc>
        <w:tc>
          <w:tcPr>
            <w:tcW w:w="951" w:type="dxa"/>
            <w:vAlign w:val="center"/>
          </w:tcPr>
          <w:p>
            <w:pPr>
              <w:spacing w:line="300" w:lineRule="auto"/>
              <w:jc w:val="center"/>
              <w:rPr>
                <w:rFonts w:ascii="Times New Roman" w:hAnsi="Times New Roman" w:eastAsia="仿宋" w:cs="Times New Roman"/>
                <w:sz w:val="24"/>
                <w:szCs w:val="28"/>
              </w:rPr>
            </w:pPr>
          </w:p>
        </w:tc>
        <w:tc>
          <w:tcPr>
            <w:tcW w:w="951" w:type="dxa"/>
            <w:vAlign w:val="center"/>
          </w:tcPr>
          <w:p>
            <w:pPr>
              <w:spacing w:line="300" w:lineRule="auto"/>
              <w:jc w:val="center"/>
              <w:rPr>
                <w:rFonts w:ascii="Times New Roman" w:hAnsi="Times New Roman" w:eastAsia="仿宋" w:cs="Times New Roman"/>
                <w:sz w:val="24"/>
                <w:szCs w:val="28"/>
              </w:rPr>
            </w:pPr>
          </w:p>
        </w:tc>
        <w:tc>
          <w:tcPr>
            <w:tcW w:w="1607" w:type="dxa"/>
            <w:vAlign w:val="center"/>
          </w:tcPr>
          <w:p>
            <w:pPr>
              <w:spacing w:line="300" w:lineRule="auto"/>
              <w:jc w:val="center"/>
              <w:rPr>
                <w:rFonts w:ascii="Times New Roman" w:hAnsi="Times New Roman" w:eastAsia="仿宋" w:cs="Times New Roman"/>
                <w:sz w:val="24"/>
                <w:szCs w:val="2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79" w:hRule="atLeast"/>
        </w:trPr>
        <w:tc>
          <w:tcPr>
            <w:tcW w:w="953" w:type="dxa"/>
            <w:vAlign w:val="center"/>
          </w:tcPr>
          <w:p>
            <w:pPr>
              <w:spacing w:line="300" w:lineRule="auto"/>
              <w:jc w:val="center"/>
              <w:rPr>
                <w:rFonts w:ascii="Times New Roman" w:hAnsi="Times New Roman" w:eastAsia="仿宋" w:cs="Times New Roman"/>
                <w:sz w:val="24"/>
                <w:szCs w:val="28"/>
              </w:rPr>
            </w:pPr>
          </w:p>
        </w:tc>
        <w:tc>
          <w:tcPr>
            <w:tcW w:w="1608" w:type="dxa"/>
            <w:vAlign w:val="center"/>
          </w:tcPr>
          <w:p>
            <w:pPr>
              <w:spacing w:line="300" w:lineRule="auto"/>
              <w:jc w:val="center"/>
              <w:rPr>
                <w:rFonts w:ascii="Times New Roman" w:hAnsi="Times New Roman" w:eastAsia="仿宋" w:cs="Times New Roman"/>
                <w:sz w:val="24"/>
                <w:szCs w:val="28"/>
              </w:rPr>
            </w:pPr>
          </w:p>
        </w:tc>
        <w:tc>
          <w:tcPr>
            <w:tcW w:w="1608" w:type="dxa"/>
            <w:vAlign w:val="center"/>
          </w:tcPr>
          <w:p>
            <w:pPr>
              <w:spacing w:line="300" w:lineRule="auto"/>
              <w:jc w:val="center"/>
              <w:rPr>
                <w:rFonts w:ascii="Times New Roman" w:hAnsi="Times New Roman" w:eastAsia="仿宋" w:cs="Times New Roman"/>
                <w:sz w:val="24"/>
                <w:szCs w:val="28"/>
              </w:rPr>
            </w:pPr>
          </w:p>
        </w:tc>
        <w:tc>
          <w:tcPr>
            <w:tcW w:w="1608" w:type="dxa"/>
            <w:vAlign w:val="center"/>
          </w:tcPr>
          <w:p>
            <w:pPr>
              <w:spacing w:line="300" w:lineRule="auto"/>
              <w:jc w:val="center"/>
              <w:rPr>
                <w:rFonts w:ascii="Times New Roman" w:hAnsi="Times New Roman" w:eastAsia="仿宋" w:cs="Times New Roman"/>
                <w:sz w:val="24"/>
                <w:szCs w:val="28"/>
              </w:rPr>
            </w:pPr>
          </w:p>
        </w:tc>
        <w:tc>
          <w:tcPr>
            <w:tcW w:w="951" w:type="dxa"/>
            <w:vAlign w:val="center"/>
          </w:tcPr>
          <w:p>
            <w:pPr>
              <w:spacing w:line="300" w:lineRule="auto"/>
              <w:jc w:val="center"/>
              <w:rPr>
                <w:rFonts w:ascii="Times New Roman" w:hAnsi="Times New Roman" w:eastAsia="仿宋" w:cs="Times New Roman"/>
                <w:sz w:val="24"/>
                <w:szCs w:val="28"/>
              </w:rPr>
            </w:pPr>
          </w:p>
        </w:tc>
        <w:tc>
          <w:tcPr>
            <w:tcW w:w="951" w:type="dxa"/>
            <w:vAlign w:val="center"/>
          </w:tcPr>
          <w:p>
            <w:pPr>
              <w:spacing w:line="300" w:lineRule="auto"/>
              <w:jc w:val="center"/>
              <w:rPr>
                <w:rFonts w:ascii="Times New Roman" w:hAnsi="Times New Roman" w:eastAsia="仿宋" w:cs="Times New Roman"/>
                <w:sz w:val="24"/>
                <w:szCs w:val="28"/>
              </w:rPr>
            </w:pPr>
          </w:p>
        </w:tc>
        <w:tc>
          <w:tcPr>
            <w:tcW w:w="1607" w:type="dxa"/>
            <w:vAlign w:val="center"/>
          </w:tcPr>
          <w:p>
            <w:pPr>
              <w:spacing w:line="300" w:lineRule="auto"/>
              <w:jc w:val="center"/>
              <w:rPr>
                <w:rFonts w:ascii="Times New Roman" w:hAnsi="Times New Roman" w:eastAsia="仿宋" w:cs="Times New Roman"/>
                <w:sz w:val="24"/>
                <w:szCs w:val="2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79" w:hRule="atLeast"/>
        </w:trPr>
        <w:tc>
          <w:tcPr>
            <w:tcW w:w="953" w:type="dxa"/>
            <w:vAlign w:val="center"/>
          </w:tcPr>
          <w:p>
            <w:pPr>
              <w:spacing w:line="300" w:lineRule="auto"/>
              <w:jc w:val="center"/>
              <w:rPr>
                <w:rFonts w:ascii="Times New Roman" w:hAnsi="Times New Roman" w:eastAsia="仿宋" w:cs="Times New Roman"/>
                <w:sz w:val="24"/>
                <w:szCs w:val="28"/>
              </w:rPr>
            </w:pPr>
            <w:r>
              <w:rPr>
                <w:rFonts w:ascii="Times New Roman" w:hAnsi="Times New Roman" w:eastAsia="仿宋" w:cs="Times New Roman"/>
                <w:sz w:val="24"/>
                <w:szCs w:val="28"/>
              </w:rPr>
              <w:t>……</w:t>
            </w:r>
          </w:p>
        </w:tc>
        <w:tc>
          <w:tcPr>
            <w:tcW w:w="1608" w:type="dxa"/>
            <w:vAlign w:val="center"/>
          </w:tcPr>
          <w:p>
            <w:pPr>
              <w:spacing w:line="300" w:lineRule="auto"/>
              <w:jc w:val="center"/>
              <w:rPr>
                <w:rFonts w:ascii="Times New Roman" w:hAnsi="Times New Roman" w:eastAsia="仿宋" w:cs="Times New Roman"/>
                <w:sz w:val="24"/>
                <w:szCs w:val="28"/>
              </w:rPr>
            </w:pPr>
            <w:r>
              <w:rPr>
                <w:rFonts w:ascii="Times New Roman" w:hAnsi="Times New Roman" w:eastAsia="仿宋" w:cs="Times New Roman"/>
                <w:sz w:val="24"/>
                <w:szCs w:val="28"/>
              </w:rPr>
              <w:t>……</w:t>
            </w:r>
          </w:p>
        </w:tc>
        <w:tc>
          <w:tcPr>
            <w:tcW w:w="1608" w:type="dxa"/>
            <w:vAlign w:val="center"/>
          </w:tcPr>
          <w:p>
            <w:pPr>
              <w:spacing w:line="300" w:lineRule="auto"/>
              <w:jc w:val="center"/>
              <w:rPr>
                <w:rFonts w:ascii="Times New Roman" w:hAnsi="Times New Roman" w:eastAsia="仿宋" w:cs="Times New Roman"/>
                <w:sz w:val="24"/>
                <w:szCs w:val="28"/>
              </w:rPr>
            </w:pPr>
            <w:r>
              <w:rPr>
                <w:rFonts w:ascii="Times New Roman" w:hAnsi="Times New Roman" w:eastAsia="仿宋" w:cs="Times New Roman"/>
                <w:sz w:val="24"/>
                <w:szCs w:val="28"/>
              </w:rPr>
              <w:t>……</w:t>
            </w:r>
          </w:p>
        </w:tc>
        <w:tc>
          <w:tcPr>
            <w:tcW w:w="1608" w:type="dxa"/>
            <w:vAlign w:val="center"/>
          </w:tcPr>
          <w:p>
            <w:pPr>
              <w:spacing w:line="300" w:lineRule="auto"/>
              <w:jc w:val="center"/>
              <w:rPr>
                <w:rFonts w:ascii="Times New Roman" w:hAnsi="Times New Roman" w:eastAsia="仿宋" w:cs="Times New Roman"/>
                <w:sz w:val="24"/>
                <w:szCs w:val="28"/>
              </w:rPr>
            </w:pPr>
            <w:r>
              <w:rPr>
                <w:rFonts w:ascii="Times New Roman" w:hAnsi="Times New Roman" w:eastAsia="仿宋" w:cs="Times New Roman"/>
                <w:sz w:val="24"/>
                <w:szCs w:val="28"/>
              </w:rPr>
              <w:t>……</w:t>
            </w:r>
          </w:p>
        </w:tc>
        <w:tc>
          <w:tcPr>
            <w:tcW w:w="951" w:type="dxa"/>
            <w:vAlign w:val="center"/>
          </w:tcPr>
          <w:p>
            <w:pPr>
              <w:spacing w:line="300" w:lineRule="auto"/>
              <w:jc w:val="center"/>
              <w:rPr>
                <w:rFonts w:ascii="Times New Roman" w:hAnsi="Times New Roman" w:eastAsia="仿宋" w:cs="Times New Roman"/>
                <w:sz w:val="24"/>
                <w:szCs w:val="28"/>
              </w:rPr>
            </w:pPr>
            <w:r>
              <w:rPr>
                <w:rFonts w:ascii="Times New Roman" w:hAnsi="Times New Roman" w:eastAsia="仿宋" w:cs="Times New Roman"/>
                <w:sz w:val="24"/>
                <w:szCs w:val="28"/>
              </w:rPr>
              <w:t>……</w:t>
            </w:r>
          </w:p>
        </w:tc>
        <w:tc>
          <w:tcPr>
            <w:tcW w:w="951" w:type="dxa"/>
            <w:vAlign w:val="center"/>
          </w:tcPr>
          <w:p>
            <w:pPr>
              <w:spacing w:line="300" w:lineRule="auto"/>
              <w:jc w:val="center"/>
              <w:rPr>
                <w:rFonts w:ascii="Times New Roman" w:hAnsi="Times New Roman" w:eastAsia="仿宋" w:cs="Times New Roman"/>
                <w:sz w:val="24"/>
                <w:szCs w:val="28"/>
              </w:rPr>
            </w:pPr>
            <w:r>
              <w:rPr>
                <w:rFonts w:ascii="Times New Roman" w:hAnsi="Times New Roman" w:eastAsia="仿宋" w:cs="Times New Roman"/>
                <w:sz w:val="24"/>
                <w:szCs w:val="28"/>
              </w:rPr>
              <w:t>……</w:t>
            </w:r>
          </w:p>
        </w:tc>
        <w:tc>
          <w:tcPr>
            <w:tcW w:w="1607" w:type="dxa"/>
            <w:vAlign w:val="center"/>
          </w:tcPr>
          <w:p>
            <w:pPr>
              <w:spacing w:line="300" w:lineRule="auto"/>
              <w:jc w:val="center"/>
              <w:rPr>
                <w:rFonts w:ascii="Times New Roman" w:hAnsi="Times New Roman" w:eastAsia="仿宋" w:cs="Times New Roman"/>
                <w:sz w:val="24"/>
                <w:szCs w:val="28"/>
              </w:rPr>
            </w:pPr>
            <w:r>
              <w:rPr>
                <w:rFonts w:ascii="Times New Roman" w:hAnsi="Times New Roman" w:eastAsia="仿宋" w:cs="Times New Roman"/>
                <w:sz w:val="24"/>
                <w:szCs w:val="28"/>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79" w:hRule="atLeast"/>
        </w:trPr>
        <w:tc>
          <w:tcPr>
            <w:tcW w:w="9286" w:type="dxa"/>
            <w:gridSpan w:val="7"/>
            <w:vAlign w:val="center"/>
          </w:tcPr>
          <w:p>
            <w:pPr>
              <w:spacing w:line="300" w:lineRule="auto"/>
              <w:jc w:val="center"/>
              <w:rPr>
                <w:rFonts w:ascii="Times New Roman" w:hAnsi="Times New Roman" w:eastAsia="仿宋" w:cs="Times New Roman"/>
                <w:sz w:val="24"/>
                <w:szCs w:val="28"/>
              </w:rPr>
            </w:pPr>
            <w:r>
              <w:rPr>
                <w:rFonts w:ascii="Times New Roman" w:hAnsi="Times New Roman" w:eastAsia="仿宋" w:cs="Times New Roman"/>
                <w:b/>
                <w:sz w:val="24"/>
                <w:szCs w:val="28"/>
              </w:rPr>
              <w:t>小型、微型企业生产产品的价格合计：</w:t>
            </w:r>
            <w:r>
              <w:rPr>
                <w:rFonts w:ascii="Times New Roman" w:hAnsi="Times New Roman" w:eastAsia="仿宋" w:cs="Times New Roman"/>
                <w:sz w:val="24"/>
                <w:szCs w:val="28"/>
              </w:rPr>
              <w:t>________元</w:t>
            </w:r>
          </w:p>
        </w:tc>
      </w:tr>
    </w:tbl>
    <w:p>
      <w:pPr>
        <w:spacing w:line="520" w:lineRule="exact"/>
        <w:rPr>
          <w:rFonts w:ascii="Times New Roman" w:hAnsi="Times New Roman" w:eastAsia="仿宋" w:cs="Times New Roman"/>
          <w:sz w:val="28"/>
          <w:szCs w:val="28"/>
        </w:rPr>
      </w:pPr>
    </w:p>
    <w:p>
      <w:pPr>
        <w:spacing w:line="520" w:lineRule="exact"/>
        <w:ind w:firstLine="560" w:firstLineChars="200"/>
        <w:rPr>
          <w:rFonts w:ascii="Times New Roman" w:hAnsi="Times New Roman" w:eastAsia="仿宋" w:cs="Times New Roman"/>
          <w:sz w:val="28"/>
          <w:szCs w:val="28"/>
        </w:rPr>
      </w:pPr>
    </w:p>
    <w:p>
      <w:pPr>
        <w:spacing w:line="520" w:lineRule="exact"/>
        <w:ind w:firstLine="3360" w:firstLineChars="1200"/>
        <w:rPr>
          <w:rFonts w:ascii="Times New Roman" w:hAnsi="Times New Roman" w:eastAsia="仿宋" w:cs="Times New Roman"/>
          <w:sz w:val="28"/>
        </w:rPr>
      </w:pPr>
      <w:r>
        <w:rPr>
          <w:rFonts w:ascii="Times New Roman" w:hAnsi="Times New Roman" w:eastAsia="仿宋" w:cs="Times New Roman"/>
          <w:sz w:val="28"/>
        </w:rPr>
        <w:t>投标人：</w:t>
      </w:r>
      <w:r>
        <w:rPr>
          <w:rFonts w:ascii="Times New Roman" w:hAnsi="Times New Roman" w:eastAsia="仿宋" w:cs="Times New Roman"/>
          <w:sz w:val="28"/>
          <w:u w:val="single"/>
        </w:rPr>
        <w:t>（名称和加盖公章）</w:t>
      </w:r>
    </w:p>
    <w:p>
      <w:pPr>
        <w:spacing w:line="520" w:lineRule="exact"/>
        <w:ind w:firstLine="3360" w:firstLineChars="1200"/>
        <w:rPr>
          <w:rFonts w:ascii="Times New Roman" w:hAnsi="Times New Roman" w:eastAsia="仿宋" w:cs="Times New Roman"/>
          <w:sz w:val="28"/>
        </w:rPr>
      </w:pPr>
    </w:p>
    <w:p>
      <w:pPr>
        <w:spacing w:line="520" w:lineRule="exact"/>
        <w:jc w:val="right"/>
        <w:rPr>
          <w:rFonts w:ascii="Times New Roman" w:hAnsi="Times New Roman" w:eastAsia="仿宋" w:cs="Times New Roman"/>
          <w:sz w:val="28"/>
        </w:rPr>
      </w:pPr>
      <w:r>
        <w:rPr>
          <w:rFonts w:ascii="Times New Roman" w:hAnsi="Times New Roman" w:eastAsia="仿宋" w:cs="Times New Roman"/>
          <w:sz w:val="28"/>
        </w:rPr>
        <w:t>______年___月___日</w:t>
      </w:r>
    </w:p>
    <w:p>
      <w:pPr>
        <w:spacing w:line="520" w:lineRule="exact"/>
        <w:ind w:firstLine="560" w:firstLineChars="200"/>
        <w:rPr>
          <w:rFonts w:ascii="Times New Roman" w:hAnsi="Times New Roman" w:eastAsia="仿宋" w:cs="Times New Roman"/>
          <w:sz w:val="28"/>
          <w:szCs w:val="28"/>
        </w:rPr>
      </w:pP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（二）监狱企业证明材料</w:t>
      </w:r>
    </w:p>
    <w:p>
      <w:pPr>
        <w:spacing w:line="520" w:lineRule="exact"/>
        <w:ind w:firstLine="560" w:firstLineChars="200"/>
        <w:rPr>
          <w:rFonts w:ascii="Times New Roman" w:hAnsi="Times New Roman" w:eastAsia="仿宋" w:cs="Times New Roman"/>
          <w:sz w:val="28"/>
          <w:szCs w:val="28"/>
          <w:u w:val="single"/>
        </w:rPr>
      </w:pPr>
      <w:r>
        <w:rPr>
          <w:rFonts w:ascii="Times New Roman" w:hAnsi="Times New Roman" w:eastAsia="仿宋" w:cs="Times New Roman"/>
          <w:sz w:val="28"/>
          <w:szCs w:val="28"/>
          <w:u w:val="single"/>
        </w:rPr>
        <w:t>（投标人需自证或证明生产厂商是监狱企业的，应提供由省级及以上监狱管理局、戒毒管理局（含新疆生产建设兵团）出具的证明文件复印件）</w:t>
      </w:r>
    </w:p>
    <w:p>
      <w:pPr>
        <w:spacing w:line="520" w:lineRule="exact"/>
        <w:ind w:firstLine="560" w:firstLineChars="200"/>
        <w:rPr>
          <w:rFonts w:ascii="Times New Roman" w:hAnsi="Times New Roman" w:eastAsia="仿宋" w:cs="Times New Roman"/>
          <w:sz w:val="28"/>
          <w:szCs w:val="28"/>
        </w:rPr>
      </w:pP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附：属监狱企业生产的投标产品清单</w:t>
      </w:r>
    </w:p>
    <w:tbl>
      <w:tblPr>
        <w:tblStyle w:val="16"/>
        <w:tblW w:w="928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53"/>
        <w:gridCol w:w="1608"/>
        <w:gridCol w:w="1608"/>
        <w:gridCol w:w="1608"/>
        <w:gridCol w:w="951"/>
        <w:gridCol w:w="951"/>
        <w:gridCol w:w="160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79" w:hRule="atLeast"/>
        </w:trPr>
        <w:tc>
          <w:tcPr>
            <w:tcW w:w="953" w:type="dxa"/>
          </w:tcPr>
          <w:p>
            <w:pPr>
              <w:spacing w:line="300" w:lineRule="auto"/>
              <w:jc w:val="center"/>
              <w:rPr>
                <w:rFonts w:ascii="Times New Roman" w:hAnsi="Times New Roman" w:eastAsia="仿宋" w:cs="Times New Roman"/>
                <w:b/>
                <w:sz w:val="24"/>
                <w:szCs w:val="28"/>
              </w:rPr>
            </w:pPr>
            <w:r>
              <w:rPr>
                <w:rFonts w:ascii="Times New Roman" w:hAnsi="Times New Roman" w:eastAsia="仿宋" w:cs="Times New Roman"/>
                <w:b/>
                <w:sz w:val="24"/>
                <w:szCs w:val="28"/>
              </w:rPr>
              <w:t>序号</w:t>
            </w:r>
          </w:p>
        </w:tc>
        <w:tc>
          <w:tcPr>
            <w:tcW w:w="1608" w:type="dxa"/>
          </w:tcPr>
          <w:p>
            <w:pPr>
              <w:spacing w:line="300" w:lineRule="auto"/>
              <w:jc w:val="center"/>
              <w:rPr>
                <w:rFonts w:ascii="Times New Roman" w:hAnsi="Times New Roman" w:eastAsia="仿宋" w:cs="Times New Roman"/>
                <w:b/>
                <w:sz w:val="24"/>
                <w:szCs w:val="28"/>
              </w:rPr>
            </w:pPr>
            <w:r>
              <w:rPr>
                <w:rFonts w:ascii="Times New Roman" w:hAnsi="Times New Roman" w:eastAsia="仿宋" w:cs="Times New Roman"/>
                <w:b/>
                <w:sz w:val="24"/>
                <w:szCs w:val="28"/>
              </w:rPr>
              <w:t>产品名称</w:t>
            </w:r>
          </w:p>
        </w:tc>
        <w:tc>
          <w:tcPr>
            <w:tcW w:w="1608" w:type="dxa"/>
          </w:tcPr>
          <w:p>
            <w:pPr>
              <w:spacing w:line="300" w:lineRule="auto"/>
              <w:jc w:val="center"/>
              <w:rPr>
                <w:rFonts w:ascii="Times New Roman" w:hAnsi="Times New Roman" w:eastAsia="仿宋" w:cs="Times New Roman"/>
                <w:b/>
                <w:sz w:val="24"/>
                <w:szCs w:val="28"/>
              </w:rPr>
            </w:pPr>
            <w:r>
              <w:rPr>
                <w:rFonts w:ascii="Times New Roman" w:hAnsi="Times New Roman" w:eastAsia="仿宋" w:cs="Times New Roman"/>
                <w:b/>
                <w:sz w:val="24"/>
                <w:szCs w:val="28"/>
              </w:rPr>
              <w:t>品牌型号</w:t>
            </w:r>
          </w:p>
        </w:tc>
        <w:tc>
          <w:tcPr>
            <w:tcW w:w="1608" w:type="dxa"/>
          </w:tcPr>
          <w:p>
            <w:pPr>
              <w:spacing w:line="300" w:lineRule="auto"/>
              <w:jc w:val="center"/>
              <w:rPr>
                <w:rFonts w:ascii="Times New Roman" w:hAnsi="Times New Roman" w:eastAsia="仿宋" w:cs="Times New Roman"/>
                <w:b/>
                <w:sz w:val="24"/>
                <w:szCs w:val="28"/>
              </w:rPr>
            </w:pPr>
            <w:r>
              <w:rPr>
                <w:rFonts w:ascii="Times New Roman" w:hAnsi="Times New Roman" w:eastAsia="仿宋" w:cs="Times New Roman"/>
                <w:b/>
                <w:sz w:val="24"/>
                <w:szCs w:val="28"/>
              </w:rPr>
              <w:t>生产厂商</w:t>
            </w:r>
          </w:p>
        </w:tc>
        <w:tc>
          <w:tcPr>
            <w:tcW w:w="951" w:type="dxa"/>
          </w:tcPr>
          <w:p>
            <w:pPr>
              <w:spacing w:line="300" w:lineRule="auto"/>
              <w:jc w:val="center"/>
              <w:rPr>
                <w:rFonts w:ascii="Times New Roman" w:hAnsi="Times New Roman" w:eastAsia="仿宋" w:cs="Times New Roman"/>
                <w:b/>
                <w:sz w:val="24"/>
                <w:szCs w:val="28"/>
              </w:rPr>
            </w:pPr>
            <w:r>
              <w:rPr>
                <w:rFonts w:ascii="Times New Roman" w:hAnsi="Times New Roman" w:eastAsia="仿宋" w:cs="Times New Roman"/>
                <w:b/>
                <w:sz w:val="24"/>
                <w:szCs w:val="28"/>
              </w:rPr>
              <w:t>数量</w:t>
            </w:r>
          </w:p>
        </w:tc>
        <w:tc>
          <w:tcPr>
            <w:tcW w:w="951" w:type="dxa"/>
          </w:tcPr>
          <w:p>
            <w:pPr>
              <w:spacing w:line="300" w:lineRule="auto"/>
              <w:jc w:val="center"/>
              <w:rPr>
                <w:rFonts w:ascii="Times New Roman" w:hAnsi="Times New Roman" w:eastAsia="仿宋" w:cs="Times New Roman"/>
                <w:b/>
                <w:sz w:val="24"/>
                <w:szCs w:val="28"/>
              </w:rPr>
            </w:pPr>
            <w:r>
              <w:rPr>
                <w:rFonts w:ascii="Times New Roman" w:hAnsi="Times New Roman" w:eastAsia="仿宋" w:cs="Times New Roman"/>
                <w:b/>
                <w:sz w:val="24"/>
                <w:szCs w:val="28"/>
              </w:rPr>
              <w:t>单价</w:t>
            </w:r>
          </w:p>
        </w:tc>
        <w:tc>
          <w:tcPr>
            <w:tcW w:w="1607" w:type="dxa"/>
          </w:tcPr>
          <w:p>
            <w:pPr>
              <w:spacing w:line="300" w:lineRule="auto"/>
              <w:jc w:val="center"/>
              <w:rPr>
                <w:rFonts w:ascii="Times New Roman" w:hAnsi="Times New Roman" w:eastAsia="仿宋" w:cs="Times New Roman"/>
                <w:b/>
                <w:sz w:val="24"/>
                <w:szCs w:val="28"/>
              </w:rPr>
            </w:pPr>
            <w:r>
              <w:rPr>
                <w:rFonts w:ascii="Times New Roman" w:hAnsi="Times New Roman" w:eastAsia="仿宋" w:cs="Times New Roman"/>
                <w:b/>
                <w:sz w:val="24"/>
                <w:szCs w:val="28"/>
              </w:rPr>
              <w:t>分项价格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79" w:hRule="atLeast"/>
        </w:trPr>
        <w:tc>
          <w:tcPr>
            <w:tcW w:w="953" w:type="dxa"/>
            <w:vAlign w:val="center"/>
          </w:tcPr>
          <w:p>
            <w:pPr>
              <w:spacing w:line="300" w:lineRule="auto"/>
              <w:jc w:val="center"/>
              <w:rPr>
                <w:rFonts w:ascii="Times New Roman" w:hAnsi="Times New Roman" w:eastAsia="仿宋" w:cs="Times New Roman"/>
                <w:sz w:val="24"/>
                <w:szCs w:val="28"/>
              </w:rPr>
            </w:pPr>
          </w:p>
        </w:tc>
        <w:tc>
          <w:tcPr>
            <w:tcW w:w="1608" w:type="dxa"/>
            <w:vAlign w:val="center"/>
          </w:tcPr>
          <w:p>
            <w:pPr>
              <w:spacing w:line="300" w:lineRule="auto"/>
              <w:jc w:val="center"/>
              <w:rPr>
                <w:rFonts w:ascii="Times New Roman" w:hAnsi="Times New Roman" w:eastAsia="仿宋" w:cs="Times New Roman"/>
                <w:sz w:val="24"/>
                <w:szCs w:val="28"/>
              </w:rPr>
            </w:pPr>
          </w:p>
        </w:tc>
        <w:tc>
          <w:tcPr>
            <w:tcW w:w="1608" w:type="dxa"/>
            <w:vAlign w:val="center"/>
          </w:tcPr>
          <w:p>
            <w:pPr>
              <w:spacing w:line="300" w:lineRule="auto"/>
              <w:jc w:val="center"/>
              <w:rPr>
                <w:rFonts w:ascii="Times New Roman" w:hAnsi="Times New Roman" w:eastAsia="仿宋" w:cs="Times New Roman"/>
                <w:sz w:val="24"/>
                <w:szCs w:val="28"/>
              </w:rPr>
            </w:pPr>
          </w:p>
        </w:tc>
        <w:tc>
          <w:tcPr>
            <w:tcW w:w="1608" w:type="dxa"/>
            <w:vAlign w:val="center"/>
          </w:tcPr>
          <w:p>
            <w:pPr>
              <w:spacing w:line="300" w:lineRule="auto"/>
              <w:jc w:val="center"/>
              <w:rPr>
                <w:rFonts w:ascii="Times New Roman" w:hAnsi="Times New Roman" w:eastAsia="仿宋" w:cs="Times New Roman"/>
                <w:sz w:val="24"/>
                <w:szCs w:val="28"/>
              </w:rPr>
            </w:pPr>
          </w:p>
        </w:tc>
        <w:tc>
          <w:tcPr>
            <w:tcW w:w="951" w:type="dxa"/>
            <w:vAlign w:val="center"/>
          </w:tcPr>
          <w:p>
            <w:pPr>
              <w:spacing w:line="300" w:lineRule="auto"/>
              <w:jc w:val="center"/>
              <w:rPr>
                <w:rFonts w:ascii="Times New Roman" w:hAnsi="Times New Roman" w:eastAsia="仿宋" w:cs="Times New Roman"/>
                <w:sz w:val="24"/>
                <w:szCs w:val="28"/>
              </w:rPr>
            </w:pPr>
          </w:p>
        </w:tc>
        <w:tc>
          <w:tcPr>
            <w:tcW w:w="951" w:type="dxa"/>
            <w:vAlign w:val="center"/>
          </w:tcPr>
          <w:p>
            <w:pPr>
              <w:spacing w:line="300" w:lineRule="auto"/>
              <w:jc w:val="center"/>
              <w:rPr>
                <w:rFonts w:ascii="Times New Roman" w:hAnsi="Times New Roman" w:eastAsia="仿宋" w:cs="Times New Roman"/>
                <w:sz w:val="24"/>
                <w:szCs w:val="28"/>
              </w:rPr>
            </w:pPr>
          </w:p>
        </w:tc>
        <w:tc>
          <w:tcPr>
            <w:tcW w:w="1607" w:type="dxa"/>
            <w:vAlign w:val="center"/>
          </w:tcPr>
          <w:p>
            <w:pPr>
              <w:spacing w:line="300" w:lineRule="auto"/>
              <w:jc w:val="center"/>
              <w:rPr>
                <w:rFonts w:ascii="Times New Roman" w:hAnsi="Times New Roman" w:eastAsia="仿宋" w:cs="Times New Roman"/>
                <w:sz w:val="24"/>
                <w:szCs w:val="2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79" w:hRule="atLeast"/>
        </w:trPr>
        <w:tc>
          <w:tcPr>
            <w:tcW w:w="953" w:type="dxa"/>
            <w:vAlign w:val="center"/>
          </w:tcPr>
          <w:p>
            <w:pPr>
              <w:spacing w:line="300" w:lineRule="auto"/>
              <w:jc w:val="center"/>
              <w:rPr>
                <w:rFonts w:ascii="Times New Roman" w:hAnsi="Times New Roman" w:eastAsia="仿宋" w:cs="Times New Roman"/>
                <w:sz w:val="24"/>
                <w:szCs w:val="28"/>
              </w:rPr>
            </w:pPr>
          </w:p>
        </w:tc>
        <w:tc>
          <w:tcPr>
            <w:tcW w:w="1608" w:type="dxa"/>
            <w:vAlign w:val="center"/>
          </w:tcPr>
          <w:p>
            <w:pPr>
              <w:spacing w:line="300" w:lineRule="auto"/>
              <w:jc w:val="center"/>
              <w:rPr>
                <w:rFonts w:ascii="Times New Roman" w:hAnsi="Times New Roman" w:eastAsia="仿宋" w:cs="Times New Roman"/>
                <w:sz w:val="24"/>
                <w:szCs w:val="28"/>
              </w:rPr>
            </w:pPr>
          </w:p>
        </w:tc>
        <w:tc>
          <w:tcPr>
            <w:tcW w:w="1608" w:type="dxa"/>
            <w:vAlign w:val="center"/>
          </w:tcPr>
          <w:p>
            <w:pPr>
              <w:spacing w:line="300" w:lineRule="auto"/>
              <w:jc w:val="center"/>
              <w:rPr>
                <w:rFonts w:ascii="Times New Roman" w:hAnsi="Times New Roman" w:eastAsia="仿宋" w:cs="Times New Roman"/>
                <w:sz w:val="24"/>
                <w:szCs w:val="28"/>
              </w:rPr>
            </w:pPr>
          </w:p>
        </w:tc>
        <w:tc>
          <w:tcPr>
            <w:tcW w:w="1608" w:type="dxa"/>
            <w:vAlign w:val="center"/>
          </w:tcPr>
          <w:p>
            <w:pPr>
              <w:spacing w:line="300" w:lineRule="auto"/>
              <w:jc w:val="center"/>
              <w:rPr>
                <w:rFonts w:ascii="Times New Roman" w:hAnsi="Times New Roman" w:eastAsia="仿宋" w:cs="Times New Roman"/>
                <w:sz w:val="24"/>
                <w:szCs w:val="28"/>
              </w:rPr>
            </w:pPr>
          </w:p>
        </w:tc>
        <w:tc>
          <w:tcPr>
            <w:tcW w:w="951" w:type="dxa"/>
            <w:vAlign w:val="center"/>
          </w:tcPr>
          <w:p>
            <w:pPr>
              <w:spacing w:line="300" w:lineRule="auto"/>
              <w:jc w:val="center"/>
              <w:rPr>
                <w:rFonts w:ascii="Times New Roman" w:hAnsi="Times New Roman" w:eastAsia="仿宋" w:cs="Times New Roman"/>
                <w:sz w:val="24"/>
                <w:szCs w:val="28"/>
              </w:rPr>
            </w:pPr>
          </w:p>
        </w:tc>
        <w:tc>
          <w:tcPr>
            <w:tcW w:w="951" w:type="dxa"/>
            <w:vAlign w:val="center"/>
          </w:tcPr>
          <w:p>
            <w:pPr>
              <w:spacing w:line="300" w:lineRule="auto"/>
              <w:jc w:val="center"/>
              <w:rPr>
                <w:rFonts w:ascii="Times New Roman" w:hAnsi="Times New Roman" w:eastAsia="仿宋" w:cs="Times New Roman"/>
                <w:sz w:val="24"/>
                <w:szCs w:val="28"/>
              </w:rPr>
            </w:pPr>
          </w:p>
        </w:tc>
        <w:tc>
          <w:tcPr>
            <w:tcW w:w="1607" w:type="dxa"/>
            <w:vAlign w:val="center"/>
          </w:tcPr>
          <w:p>
            <w:pPr>
              <w:spacing w:line="300" w:lineRule="auto"/>
              <w:jc w:val="center"/>
              <w:rPr>
                <w:rFonts w:ascii="Times New Roman" w:hAnsi="Times New Roman" w:eastAsia="仿宋" w:cs="Times New Roman"/>
                <w:sz w:val="24"/>
                <w:szCs w:val="2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79" w:hRule="atLeast"/>
        </w:trPr>
        <w:tc>
          <w:tcPr>
            <w:tcW w:w="953" w:type="dxa"/>
            <w:vAlign w:val="center"/>
          </w:tcPr>
          <w:p>
            <w:pPr>
              <w:spacing w:line="300" w:lineRule="auto"/>
              <w:jc w:val="center"/>
              <w:rPr>
                <w:rFonts w:ascii="Times New Roman" w:hAnsi="Times New Roman" w:eastAsia="仿宋" w:cs="Times New Roman"/>
                <w:sz w:val="24"/>
                <w:szCs w:val="28"/>
              </w:rPr>
            </w:pPr>
            <w:r>
              <w:rPr>
                <w:rFonts w:ascii="Times New Roman" w:hAnsi="Times New Roman" w:eastAsia="仿宋" w:cs="Times New Roman"/>
                <w:sz w:val="24"/>
                <w:szCs w:val="28"/>
              </w:rPr>
              <w:t>……</w:t>
            </w:r>
          </w:p>
        </w:tc>
        <w:tc>
          <w:tcPr>
            <w:tcW w:w="1608" w:type="dxa"/>
            <w:vAlign w:val="center"/>
          </w:tcPr>
          <w:p>
            <w:pPr>
              <w:spacing w:line="300" w:lineRule="auto"/>
              <w:jc w:val="center"/>
              <w:rPr>
                <w:rFonts w:ascii="Times New Roman" w:hAnsi="Times New Roman" w:eastAsia="仿宋" w:cs="Times New Roman"/>
                <w:sz w:val="24"/>
                <w:szCs w:val="28"/>
              </w:rPr>
            </w:pPr>
            <w:r>
              <w:rPr>
                <w:rFonts w:ascii="Times New Roman" w:hAnsi="Times New Roman" w:eastAsia="仿宋" w:cs="Times New Roman"/>
                <w:sz w:val="24"/>
                <w:szCs w:val="28"/>
              </w:rPr>
              <w:t>……</w:t>
            </w:r>
          </w:p>
        </w:tc>
        <w:tc>
          <w:tcPr>
            <w:tcW w:w="1608" w:type="dxa"/>
            <w:vAlign w:val="center"/>
          </w:tcPr>
          <w:p>
            <w:pPr>
              <w:spacing w:line="300" w:lineRule="auto"/>
              <w:jc w:val="center"/>
              <w:rPr>
                <w:rFonts w:ascii="Times New Roman" w:hAnsi="Times New Roman" w:eastAsia="仿宋" w:cs="Times New Roman"/>
                <w:sz w:val="24"/>
                <w:szCs w:val="28"/>
              </w:rPr>
            </w:pPr>
            <w:r>
              <w:rPr>
                <w:rFonts w:ascii="Times New Roman" w:hAnsi="Times New Roman" w:eastAsia="仿宋" w:cs="Times New Roman"/>
                <w:sz w:val="24"/>
                <w:szCs w:val="28"/>
              </w:rPr>
              <w:t>……</w:t>
            </w:r>
          </w:p>
        </w:tc>
        <w:tc>
          <w:tcPr>
            <w:tcW w:w="1608" w:type="dxa"/>
            <w:vAlign w:val="center"/>
          </w:tcPr>
          <w:p>
            <w:pPr>
              <w:spacing w:line="300" w:lineRule="auto"/>
              <w:jc w:val="center"/>
              <w:rPr>
                <w:rFonts w:ascii="Times New Roman" w:hAnsi="Times New Roman" w:eastAsia="仿宋" w:cs="Times New Roman"/>
                <w:sz w:val="24"/>
                <w:szCs w:val="28"/>
              </w:rPr>
            </w:pPr>
            <w:r>
              <w:rPr>
                <w:rFonts w:ascii="Times New Roman" w:hAnsi="Times New Roman" w:eastAsia="仿宋" w:cs="Times New Roman"/>
                <w:sz w:val="24"/>
                <w:szCs w:val="28"/>
              </w:rPr>
              <w:t>……</w:t>
            </w:r>
          </w:p>
        </w:tc>
        <w:tc>
          <w:tcPr>
            <w:tcW w:w="951" w:type="dxa"/>
            <w:vAlign w:val="center"/>
          </w:tcPr>
          <w:p>
            <w:pPr>
              <w:spacing w:line="300" w:lineRule="auto"/>
              <w:jc w:val="center"/>
              <w:rPr>
                <w:rFonts w:ascii="Times New Roman" w:hAnsi="Times New Roman" w:eastAsia="仿宋" w:cs="Times New Roman"/>
                <w:sz w:val="24"/>
                <w:szCs w:val="28"/>
              </w:rPr>
            </w:pPr>
            <w:r>
              <w:rPr>
                <w:rFonts w:ascii="Times New Roman" w:hAnsi="Times New Roman" w:eastAsia="仿宋" w:cs="Times New Roman"/>
                <w:sz w:val="24"/>
                <w:szCs w:val="28"/>
              </w:rPr>
              <w:t>……</w:t>
            </w:r>
          </w:p>
        </w:tc>
        <w:tc>
          <w:tcPr>
            <w:tcW w:w="951" w:type="dxa"/>
            <w:vAlign w:val="center"/>
          </w:tcPr>
          <w:p>
            <w:pPr>
              <w:spacing w:line="300" w:lineRule="auto"/>
              <w:jc w:val="center"/>
              <w:rPr>
                <w:rFonts w:ascii="Times New Roman" w:hAnsi="Times New Roman" w:eastAsia="仿宋" w:cs="Times New Roman"/>
                <w:sz w:val="24"/>
                <w:szCs w:val="28"/>
              </w:rPr>
            </w:pPr>
            <w:r>
              <w:rPr>
                <w:rFonts w:ascii="Times New Roman" w:hAnsi="Times New Roman" w:eastAsia="仿宋" w:cs="Times New Roman"/>
                <w:sz w:val="24"/>
                <w:szCs w:val="28"/>
              </w:rPr>
              <w:t>……</w:t>
            </w:r>
          </w:p>
        </w:tc>
        <w:tc>
          <w:tcPr>
            <w:tcW w:w="1607" w:type="dxa"/>
            <w:vAlign w:val="center"/>
          </w:tcPr>
          <w:p>
            <w:pPr>
              <w:spacing w:line="300" w:lineRule="auto"/>
              <w:jc w:val="center"/>
              <w:rPr>
                <w:rFonts w:ascii="Times New Roman" w:hAnsi="Times New Roman" w:eastAsia="仿宋" w:cs="Times New Roman"/>
                <w:sz w:val="24"/>
                <w:szCs w:val="28"/>
              </w:rPr>
            </w:pPr>
            <w:r>
              <w:rPr>
                <w:rFonts w:ascii="Times New Roman" w:hAnsi="Times New Roman" w:eastAsia="仿宋" w:cs="Times New Roman"/>
                <w:sz w:val="24"/>
                <w:szCs w:val="28"/>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79" w:hRule="atLeast"/>
        </w:trPr>
        <w:tc>
          <w:tcPr>
            <w:tcW w:w="9286" w:type="dxa"/>
            <w:gridSpan w:val="7"/>
            <w:vAlign w:val="center"/>
          </w:tcPr>
          <w:p>
            <w:pPr>
              <w:spacing w:line="300" w:lineRule="auto"/>
              <w:jc w:val="center"/>
              <w:rPr>
                <w:rFonts w:ascii="Times New Roman" w:hAnsi="Times New Roman" w:eastAsia="仿宋" w:cs="Times New Roman"/>
                <w:sz w:val="24"/>
                <w:szCs w:val="28"/>
              </w:rPr>
            </w:pPr>
            <w:r>
              <w:rPr>
                <w:rFonts w:ascii="Times New Roman" w:hAnsi="Times New Roman" w:eastAsia="仿宋" w:cs="Times New Roman"/>
                <w:b/>
                <w:sz w:val="24"/>
                <w:szCs w:val="28"/>
              </w:rPr>
              <w:t>监狱企业生产产品的价格合计：</w:t>
            </w:r>
            <w:r>
              <w:rPr>
                <w:rFonts w:ascii="Times New Roman" w:hAnsi="Times New Roman" w:eastAsia="仿宋" w:cs="Times New Roman"/>
                <w:sz w:val="24"/>
                <w:szCs w:val="28"/>
              </w:rPr>
              <w:t>________元</w:t>
            </w:r>
          </w:p>
        </w:tc>
      </w:tr>
    </w:tbl>
    <w:p>
      <w:pPr>
        <w:spacing w:line="520" w:lineRule="exact"/>
        <w:rPr>
          <w:rFonts w:ascii="Times New Roman" w:hAnsi="Times New Roman" w:eastAsia="仿宋" w:cs="Times New Roman"/>
          <w:sz w:val="28"/>
          <w:szCs w:val="28"/>
        </w:rPr>
      </w:pPr>
    </w:p>
    <w:p>
      <w:pPr>
        <w:spacing w:line="520" w:lineRule="exact"/>
        <w:ind w:firstLine="560" w:firstLineChars="200"/>
        <w:rPr>
          <w:rFonts w:ascii="Times New Roman" w:hAnsi="Times New Roman" w:eastAsia="仿宋" w:cs="Times New Roman"/>
          <w:sz w:val="28"/>
          <w:szCs w:val="28"/>
        </w:rPr>
      </w:pPr>
    </w:p>
    <w:p>
      <w:pPr>
        <w:spacing w:line="520" w:lineRule="exact"/>
        <w:ind w:firstLine="3360" w:firstLineChars="1200"/>
        <w:rPr>
          <w:rFonts w:ascii="Times New Roman" w:hAnsi="Times New Roman" w:eastAsia="仿宋" w:cs="Times New Roman"/>
          <w:sz w:val="28"/>
        </w:rPr>
      </w:pPr>
      <w:r>
        <w:rPr>
          <w:rFonts w:ascii="Times New Roman" w:hAnsi="Times New Roman" w:eastAsia="仿宋" w:cs="Times New Roman"/>
          <w:sz w:val="28"/>
        </w:rPr>
        <w:t>投标人：</w:t>
      </w:r>
      <w:r>
        <w:rPr>
          <w:rFonts w:ascii="Times New Roman" w:hAnsi="Times New Roman" w:eastAsia="仿宋" w:cs="Times New Roman"/>
          <w:sz w:val="28"/>
          <w:u w:val="single"/>
        </w:rPr>
        <w:t>（名称和加盖公章）</w:t>
      </w:r>
    </w:p>
    <w:p>
      <w:pPr>
        <w:spacing w:line="520" w:lineRule="exact"/>
        <w:ind w:firstLine="3360" w:firstLineChars="1200"/>
        <w:rPr>
          <w:rFonts w:ascii="Times New Roman" w:hAnsi="Times New Roman" w:eastAsia="仿宋" w:cs="Times New Roman"/>
          <w:sz w:val="28"/>
        </w:rPr>
      </w:pPr>
    </w:p>
    <w:p>
      <w:pPr>
        <w:spacing w:line="520" w:lineRule="exact"/>
        <w:jc w:val="right"/>
        <w:rPr>
          <w:rFonts w:ascii="Times New Roman" w:hAnsi="Times New Roman" w:eastAsia="仿宋" w:cs="Times New Roman"/>
          <w:sz w:val="28"/>
        </w:rPr>
      </w:pPr>
      <w:r>
        <w:rPr>
          <w:rFonts w:ascii="Times New Roman" w:hAnsi="Times New Roman" w:eastAsia="仿宋" w:cs="Times New Roman"/>
          <w:sz w:val="28"/>
        </w:rPr>
        <w:t>______年___月___日</w:t>
      </w:r>
    </w:p>
    <w:p>
      <w:pPr>
        <w:spacing w:line="520" w:lineRule="exact"/>
        <w:ind w:firstLine="560" w:firstLineChars="200"/>
        <w:rPr>
          <w:rFonts w:ascii="Times New Roman" w:hAnsi="Times New Roman" w:eastAsia="仿宋" w:cs="Times New Roman"/>
          <w:sz w:val="28"/>
          <w:szCs w:val="28"/>
        </w:rPr>
      </w:pP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（三）</w:t>
      </w:r>
      <w:bookmarkStart w:id="9" w:name="_Hlk531623695"/>
      <w:r>
        <w:rPr>
          <w:rFonts w:ascii="Times New Roman" w:hAnsi="Times New Roman" w:eastAsia="仿宋" w:cs="Times New Roman"/>
          <w:b/>
          <w:sz w:val="28"/>
          <w:szCs w:val="28"/>
        </w:rPr>
        <w:t>残疾人福利性单位</w:t>
      </w:r>
      <w:bookmarkEnd w:id="9"/>
      <w:r>
        <w:rPr>
          <w:rFonts w:ascii="Times New Roman" w:hAnsi="Times New Roman" w:eastAsia="仿宋" w:cs="Times New Roman"/>
          <w:b/>
          <w:sz w:val="28"/>
          <w:szCs w:val="28"/>
        </w:rPr>
        <w:t>声明函</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本单位郑重声明，根据《财政部 民政部 中国残疾人联合会关于促进残疾人就业政府采购政策的通知》（财库〔2017〕141号）的规定，本单位为符合条件的残疾人福利性单位，且本单位参加“___________”项目采购活动提供本单位制造的货物，或者提供其他残疾人福利性单位制造的货物（不包括使用非残疾人福利性单位注册商标的货物）。</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本单位对上述声明的真实性负责。如有虚假，将依法承担相应责任。</w:t>
      </w:r>
    </w:p>
    <w:p>
      <w:pPr>
        <w:spacing w:line="520" w:lineRule="exact"/>
        <w:ind w:firstLine="560" w:firstLineChars="200"/>
        <w:rPr>
          <w:rFonts w:ascii="Times New Roman" w:hAnsi="Times New Roman" w:eastAsia="仿宋" w:cs="Times New Roman"/>
          <w:sz w:val="28"/>
          <w:szCs w:val="28"/>
        </w:rPr>
      </w:pP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附：属残疾人福利性单位生产的投标产品清单</w:t>
      </w:r>
    </w:p>
    <w:tbl>
      <w:tblPr>
        <w:tblStyle w:val="16"/>
        <w:tblW w:w="928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53"/>
        <w:gridCol w:w="1608"/>
        <w:gridCol w:w="1608"/>
        <w:gridCol w:w="1608"/>
        <w:gridCol w:w="951"/>
        <w:gridCol w:w="951"/>
        <w:gridCol w:w="160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79" w:hRule="atLeast"/>
        </w:trPr>
        <w:tc>
          <w:tcPr>
            <w:tcW w:w="953" w:type="dxa"/>
          </w:tcPr>
          <w:p>
            <w:pPr>
              <w:spacing w:line="300" w:lineRule="auto"/>
              <w:jc w:val="center"/>
              <w:rPr>
                <w:rFonts w:ascii="Times New Roman" w:hAnsi="Times New Roman" w:eastAsia="仿宋" w:cs="Times New Roman"/>
                <w:b/>
                <w:sz w:val="24"/>
                <w:szCs w:val="28"/>
              </w:rPr>
            </w:pPr>
            <w:r>
              <w:rPr>
                <w:rFonts w:ascii="Times New Roman" w:hAnsi="Times New Roman" w:eastAsia="仿宋" w:cs="Times New Roman"/>
                <w:b/>
                <w:sz w:val="24"/>
                <w:szCs w:val="28"/>
              </w:rPr>
              <w:t>序号</w:t>
            </w:r>
          </w:p>
        </w:tc>
        <w:tc>
          <w:tcPr>
            <w:tcW w:w="1608" w:type="dxa"/>
          </w:tcPr>
          <w:p>
            <w:pPr>
              <w:spacing w:line="300" w:lineRule="auto"/>
              <w:jc w:val="center"/>
              <w:rPr>
                <w:rFonts w:ascii="Times New Roman" w:hAnsi="Times New Roman" w:eastAsia="仿宋" w:cs="Times New Roman"/>
                <w:b/>
                <w:sz w:val="24"/>
                <w:szCs w:val="28"/>
              </w:rPr>
            </w:pPr>
            <w:r>
              <w:rPr>
                <w:rFonts w:ascii="Times New Roman" w:hAnsi="Times New Roman" w:eastAsia="仿宋" w:cs="Times New Roman"/>
                <w:b/>
                <w:sz w:val="24"/>
                <w:szCs w:val="28"/>
              </w:rPr>
              <w:t>产品名称</w:t>
            </w:r>
          </w:p>
        </w:tc>
        <w:tc>
          <w:tcPr>
            <w:tcW w:w="1608" w:type="dxa"/>
          </w:tcPr>
          <w:p>
            <w:pPr>
              <w:spacing w:line="300" w:lineRule="auto"/>
              <w:jc w:val="center"/>
              <w:rPr>
                <w:rFonts w:ascii="Times New Roman" w:hAnsi="Times New Roman" w:eastAsia="仿宋" w:cs="Times New Roman"/>
                <w:b/>
                <w:sz w:val="24"/>
                <w:szCs w:val="28"/>
              </w:rPr>
            </w:pPr>
            <w:r>
              <w:rPr>
                <w:rFonts w:ascii="Times New Roman" w:hAnsi="Times New Roman" w:eastAsia="仿宋" w:cs="Times New Roman"/>
                <w:b/>
                <w:sz w:val="24"/>
                <w:szCs w:val="28"/>
              </w:rPr>
              <w:t>品牌型号</w:t>
            </w:r>
          </w:p>
        </w:tc>
        <w:tc>
          <w:tcPr>
            <w:tcW w:w="1608" w:type="dxa"/>
          </w:tcPr>
          <w:p>
            <w:pPr>
              <w:spacing w:line="300" w:lineRule="auto"/>
              <w:jc w:val="center"/>
              <w:rPr>
                <w:rFonts w:ascii="Times New Roman" w:hAnsi="Times New Roman" w:eastAsia="仿宋" w:cs="Times New Roman"/>
                <w:b/>
                <w:sz w:val="24"/>
                <w:szCs w:val="28"/>
              </w:rPr>
            </w:pPr>
            <w:r>
              <w:rPr>
                <w:rFonts w:ascii="Times New Roman" w:hAnsi="Times New Roman" w:eastAsia="仿宋" w:cs="Times New Roman"/>
                <w:b/>
                <w:sz w:val="24"/>
                <w:szCs w:val="28"/>
              </w:rPr>
              <w:t>生产厂商</w:t>
            </w:r>
          </w:p>
        </w:tc>
        <w:tc>
          <w:tcPr>
            <w:tcW w:w="951" w:type="dxa"/>
          </w:tcPr>
          <w:p>
            <w:pPr>
              <w:spacing w:line="300" w:lineRule="auto"/>
              <w:jc w:val="center"/>
              <w:rPr>
                <w:rFonts w:ascii="Times New Roman" w:hAnsi="Times New Roman" w:eastAsia="仿宋" w:cs="Times New Roman"/>
                <w:b/>
                <w:sz w:val="24"/>
                <w:szCs w:val="28"/>
              </w:rPr>
            </w:pPr>
            <w:r>
              <w:rPr>
                <w:rFonts w:ascii="Times New Roman" w:hAnsi="Times New Roman" w:eastAsia="仿宋" w:cs="Times New Roman"/>
                <w:b/>
                <w:sz w:val="24"/>
                <w:szCs w:val="28"/>
              </w:rPr>
              <w:t>数量</w:t>
            </w:r>
          </w:p>
        </w:tc>
        <w:tc>
          <w:tcPr>
            <w:tcW w:w="951" w:type="dxa"/>
          </w:tcPr>
          <w:p>
            <w:pPr>
              <w:spacing w:line="300" w:lineRule="auto"/>
              <w:jc w:val="center"/>
              <w:rPr>
                <w:rFonts w:ascii="Times New Roman" w:hAnsi="Times New Roman" w:eastAsia="仿宋" w:cs="Times New Roman"/>
                <w:b/>
                <w:sz w:val="24"/>
                <w:szCs w:val="28"/>
              </w:rPr>
            </w:pPr>
            <w:r>
              <w:rPr>
                <w:rFonts w:ascii="Times New Roman" w:hAnsi="Times New Roman" w:eastAsia="仿宋" w:cs="Times New Roman"/>
                <w:b/>
                <w:sz w:val="24"/>
                <w:szCs w:val="28"/>
              </w:rPr>
              <w:t>单价</w:t>
            </w:r>
          </w:p>
        </w:tc>
        <w:tc>
          <w:tcPr>
            <w:tcW w:w="1607" w:type="dxa"/>
          </w:tcPr>
          <w:p>
            <w:pPr>
              <w:spacing w:line="300" w:lineRule="auto"/>
              <w:jc w:val="center"/>
              <w:rPr>
                <w:rFonts w:ascii="Times New Roman" w:hAnsi="Times New Roman" w:eastAsia="仿宋" w:cs="Times New Roman"/>
                <w:b/>
                <w:sz w:val="24"/>
                <w:szCs w:val="28"/>
              </w:rPr>
            </w:pPr>
            <w:r>
              <w:rPr>
                <w:rFonts w:ascii="Times New Roman" w:hAnsi="Times New Roman" w:eastAsia="仿宋" w:cs="Times New Roman"/>
                <w:b/>
                <w:sz w:val="24"/>
                <w:szCs w:val="28"/>
              </w:rPr>
              <w:t>分项价格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79" w:hRule="atLeast"/>
        </w:trPr>
        <w:tc>
          <w:tcPr>
            <w:tcW w:w="953" w:type="dxa"/>
            <w:vAlign w:val="center"/>
          </w:tcPr>
          <w:p>
            <w:pPr>
              <w:spacing w:line="300" w:lineRule="auto"/>
              <w:jc w:val="center"/>
              <w:rPr>
                <w:rFonts w:ascii="Times New Roman" w:hAnsi="Times New Roman" w:eastAsia="仿宋" w:cs="Times New Roman"/>
                <w:sz w:val="24"/>
                <w:szCs w:val="28"/>
              </w:rPr>
            </w:pPr>
          </w:p>
        </w:tc>
        <w:tc>
          <w:tcPr>
            <w:tcW w:w="1608" w:type="dxa"/>
            <w:vAlign w:val="center"/>
          </w:tcPr>
          <w:p>
            <w:pPr>
              <w:spacing w:line="300" w:lineRule="auto"/>
              <w:jc w:val="center"/>
              <w:rPr>
                <w:rFonts w:ascii="Times New Roman" w:hAnsi="Times New Roman" w:eastAsia="仿宋" w:cs="Times New Roman"/>
                <w:sz w:val="24"/>
                <w:szCs w:val="28"/>
              </w:rPr>
            </w:pPr>
          </w:p>
        </w:tc>
        <w:tc>
          <w:tcPr>
            <w:tcW w:w="1608" w:type="dxa"/>
            <w:vAlign w:val="center"/>
          </w:tcPr>
          <w:p>
            <w:pPr>
              <w:spacing w:line="300" w:lineRule="auto"/>
              <w:jc w:val="center"/>
              <w:rPr>
                <w:rFonts w:ascii="Times New Roman" w:hAnsi="Times New Roman" w:eastAsia="仿宋" w:cs="Times New Roman"/>
                <w:sz w:val="24"/>
                <w:szCs w:val="28"/>
              </w:rPr>
            </w:pPr>
          </w:p>
        </w:tc>
        <w:tc>
          <w:tcPr>
            <w:tcW w:w="1608" w:type="dxa"/>
            <w:vAlign w:val="center"/>
          </w:tcPr>
          <w:p>
            <w:pPr>
              <w:spacing w:line="300" w:lineRule="auto"/>
              <w:jc w:val="center"/>
              <w:rPr>
                <w:rFonts w:ascii="Times New Roman" w:hAnsi="Times New Roman" w:eastAsia="仿宋" w:cs="Times New Roman"/>
                <w:sz w:val="24"/>
                <w:szCs w:val="28"/>
              </w:rPr>
            </w:pPr>
          </w:p>
        </w:tc>
        <w:tc>
          <w:tcPr>
            <w:tcW w:w="951" w:type="dxa"/>
            <w:vAlign w:val="center"/>
          </w:tcPr>
          <w:p>
            <w:pPr>
              <w:spacing w:line="300" w:lineRule="auto"/>
              <w:jc w:val="center"/>
              <w:rPr>
                <w:rFonts w:ascii="Times New Roman" w:hAnsi="Times New Roman" w:eastAsia="仿宋" w:cs="Times New Roman"/>
                <w:sz w:val="24"/>
                <w:szCs w:val="28"/>
              </w:rPr>
            </w:pPr>
          </w:p>
        </w:tc>
        <w:tc>
          <w:tcPr>
            <w:tcW w:w="951" w:type="dxa"/>
            <w:vAlign w:val="center"/>
          </w:tcPr>
          <w:p>
            <w:pPr>
              <w:spacing w:line="300" w:lineRule="auto"/>
              <w:jc w:val="center"/>
              <w:rPr>
                <w:rFonts w:ascii="Times New Roman" w:hAnsi="Times New Roman" w:eastAsia="仿宋" w:cs="Times New Roman"/>
                <w:sz w:val="24"/>
                <w:szCs w:val="28"/>
              </w:rPr>
            </w:pPr>
          </w:p>
        </w:tc>
        <w:tc>
          <w:tcPr>
            <w:tcW w:w="1607" w:type="dxa"/>
            <w:vAlign w:val="center"/>
          </w:tcPr>
          <w:p>
            <w:pPr>
              <w:spacing w:line="300" w:lineRule="auto"/>
              <w:jc w:val="center"/>
              <w:rPr>
                <w:rFonts w:ascii="Times New Roman" w:hAnsi="Times New Roman" w:eastAsia="仿宋" w:cs="Times New Roman"/>
                <w:sz w:val="24"/>
                <w:szCs w:val="2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79" w:hRule="atLeast"/>
        </w:trPr>
        <w:tc>
          <w:tcPr>
            <w:tcW w:w="953" w:type="dxa"/>
            <w:vAlign w:val="center"/>
          </w:tcPr>
          <w:p>
            <w:pPr>
              <w:spacing w:line="300" w:lineRule="auto"/>
              <w:jc w:val="center"/>
              <w:rPr>
                <w:rFonts w:ascii="Times New Roman" w:hAnsi="Times New Roman" w:eastAsia="仿宋" w:cs="Times New Roman"/>
                <w:sz w:val="24"/>
                <w:szCs w:val="28"/>
              </w:rPr>
            </w:pPr>
          </w:p>
        </w:tc>
        <w:tc>
          <w:tcPr>
            <w:tcW w:w="1608" w:type="dxa"/>
            <w:vAlign w:val="center"/>
          </w:tcPr>
          <w:p>
            <w:pPr>
              <w:spacing w:line="300" w:lineRule="auto"/>
              <w:jc w:val="center"/>
              <w:rPr>
                <w:rFonts w:ascii="Times New Roman" w:hAnsi="Times New Roman" w:eastAsia="仿宋" w:cs="Times New Roman"/>
                <w:sz w:val="24"/>
                <w:szCs w:val="28"/>
              </w:rPr>
            </w:pPr>
          </w:p>
        </w:tc>
        <w:tc>
          <w:tcPr>
            <w:tcW w:w="1608" w:type="dxa"/>
            <w:vAlign w:val="center"/>
          </w:tcPr>
          <w:p>
            <w:pPr>
              <w:spacing w:line="300" w:lineRule="auto"/>
              <w:jc w:val="center"/>
              <w:rPr>
                <w:rFonts w:ascii="Times New Roman" w:hAnsi="Times New Roman" w:eastAsia="仿宋" w:cs="Times New Roman"/>
                <w:sz w:val="24"/>
                <w:szCs w:val="28"/>
              </w:rPr>
            </w:pPr>
          </w:p>
        </w:tc>
        <w:tc>
          <w:tcPr>
            <w:tcW w:w="1608" w:type="dxa"/>
            <w:vAlign w:val="center"/>
          </w:tcPr>
          <w:p>
            <w:pPr>
              <w:spacing w:line="300" w:lineRule="auto"/>
              <w:jc w:val="center"/>
              <w:rPr>
                <w:rFonts w:ascii="Times New Roman" w:hAnsi="Times New Roman" w:eastAsia="仿宋" w:cs="Times New Roman"/>
                <w:sz w:val="24"/>
                <w:szCs w:val="28"/>
              </w:rPr>
            </w:pPr>
          </w:p>
        </w:tc>
        <w:tc>
          <w:tcPr>
            <w:tcW w:w="951" w:type="dxa"/>
            <w:vAlign w:val="center"/>
          </w:tcPr>
          <w:p>
            <w:pPr>
              <w:spacing w:line="300" w:lineRule="auto"/>
              <w:jc w:val="center"/>
              <w:rPr>
                <w:rFonts w:ascii="Times New Roman" w:hAnsi="Times New Roman" w:eastAsia="仿宋" w:cs="Times New Roman"/>
                <w:sz w:val="24"/>
                <w:szCs w:val="28"/>
              </w:rPr>
            </w:pPr>
          </w:p>
        </w:tc>
        <w:tc>
          <w:tcPr>
            <w:tcW w:w="951" w:type="dxa"/>
            <w:vAlign w:val="center"/>
          </w:tcPr>
          <w:p>
            <w:pPr>
              <w:spacing w:line="300" w:lineRule="auto"/>
              <w:jc w:val="center"/>
              <w:rPr>
                <w:rFonts w:ascii="Times New Roman" w:hAnsi="Times New Roman" w:eastAsia="仿宋" w:cs="Times New Roman"/>
                <w:sz w:val="24"/>
                <w:szCs w:val="28"/>
              </w:rPr>
            </w:pPr>
          </w:p>
        </w:tc>
        <w:tc>
          <w:tcPr>
            <w:tcW w:w="1607" w:type="dxa"/>
            <w:vAlign w:val="center"/>
          </w:tcPr>
          <w:p>
            <w:pPr>
              <w:spacing w:line="300" w:lineRule="auto"/>
              <w:jc w:val="center"/>
              <w:rPr>
                <w:rFonts w:ascii="Times New Roman" w:hAnsi="Times New Roman" w:eastAsia="仿宋" w:cs="Times New Roman"/>
                <w:sz w:val="24"/>
                <w:szCs w:val="2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79" w:hRule="atLeast"/>
        </w:trPr>
        <w:tc>
          <w:tcPr>
            <w:tcW w:w="953" w:type="dxa"/>
            <w:vAlign w:val="center"/>
          </w:tcPr>
          <w:p>
            <w:pPr>
              <w:spacing w:line="300" w:lineRule="auto"/>
              <w:jc w:val="center"/>
              <w:rPr>
                <w:rFonts w:ascii="Times New Roman" w:hAnsi="Times New Roman" w:eastAsia="仿宋" w:cs="Times New Roman"/>
                <w:sz w:val="24"/>
                <w:szCs w:val="28"/>
              </w:rPr>
            </w:pPr>
            <w:r>
              <w:rPr>
                <w:rFonts w:ascii="Times New Roman" w:hAnsi="Times New Roman" w:eastAsia="仿宋" w:cs="Times New Roman"/>
                <w:sz w:val="24"/>
                <w:szCs w:val="28"/>
              </w:rPr>
              <w:t>……</w:t>
            </w:r>
          </w:p>
        </w:tc>
        <w:tc>
          <w:tcPr>
            <w:tcW w:w="1608" w:type="dxa"/>
            <w:vAlign w:val="center"/>
          </w:tcPr>
          <w:p>
            <w:pPr>
              <w:spacing w:line="300" w:lineRule="auto"/>
              <w:jc w:val="center"/>
              <w:rPr>
                <w:rFonts w:ascii="Times New Roman" w:hAnsi="Times New Roman" w:eastAsia="仿宋" w:cs="Times New Roman"/>
                <w:sz w:val="24"/>
                <w:szCs w:val="28"/>
              </w:rPr>
            </w:pPr>
            <w:r>
              <w:rPr>
                <w:rFonts w:ascii="Times New Roman" w:hAnsi="Times New Roman" w:eastAsia="仿宋" w:cs="Times New Roman"/>
                <w:sz w:val="24"/>
                <w:szCs w:val="28"/>
              </w:rPr>
              <w:t>……</w:t>
            </w:r>
          </w:p>
        </w:tc>
        <w:tc>
          <w:tcPr>
            <w:tcW w:w="1608" w:type="dxa"/>
            <w:vAlign w:val="center"/>
          </w:tcPr>
          <w:p>
            <w:pPr>
              <w:spacing w:line="300" w:lineRule="auto"/>
              <w:jc w:val="center"/>
              <w:rPr>
                <w:rFonts w:ascii="Times New Roman" w:hAnsi="Times New Roman" w:eastAsia="仿宋" w:cs="Times New Roman"/>
                <w:sz w:val="24"/>
                <w:szCs w:val="28"/>
              </w:rPr>
            </w:pPr>
            <w:r>
              <w:rPr>
                <w:rFonts w:ascii="Times New Roman" w:hAnsi="Times New Roman" w:eastAsia="仿宋" w:cs="Times New Roman"/>
                <w:sz w:val="24"/>
                <w:szCs w:val="28"/>
              </w:rPr>
              <w:t>……</w:t>
            </w:r>
          </w:p>
        </w:tc>
        <w:tc>
          <w:tcPr>
            <w:tcW w:w="1608" w:type="dxa"/>
            <w:vAlign w:val="center"/>
          </w:tcPr>
          <w:p>
            <w:pPr>
              <w:spacing w:line="300" w:lineRule="auto"/>
              <w:jc w:val="center"/>
              <w:rPr>
                <w:rFonts w:ascii="Times New Roman" w:hAnsi="Times New Roman" w:eastAsia="仿宋" w:cs="Times New Roman"/>
                <w:sz w:val="24"/>
                <w:szCs w:val="28"/>
              </w:rPr>
            </w:pPr>
            <w:r>
              <w:rPr>
                <w:rFonts w:ascii="Times New Roman" w:hAnsi="Times New Roman" w:eastAsia="仿宋" w:cs="Times New Roman"/>
                <w:sz w:val="24"/>
                <w:szCs w:val="28"/>
              </w:rPr>
              <w:t>……</w:t>
            </w:r>
          </w:p>
        </w:tc>
        <w:tc>
          <w:tcPr>
            <w:tcW w:w="951" w:type="dxa"/>
            <w:vAlign w:val="center"/>
          </w:tcPr>
          <w:p>
            <w:pPr>
              <w:spacing w:line="300" w:lineRule="auto"/>
              <w:jc w:val="center"/>
              <w:rPr>
                <w:rFonts w:ascii="Times New Roman" w:hAnsi="Times New Roman" w:eastAsia="仿宋" w:cs="Times New Roman"/>
                <w:sz w:val="24"/>
                <w:szCs w:val="28"/>
              </w:rPr>
            </w:pPr>
            <w:r>
              <w:rPr>
                <w:rFonts w:ascii="Times New Roman" w:hAnsi="Times New Roman" w:eastAsia="仿宋" w:cs="Times New Roman"/>
                <w:sz w:val="24"/>
                <w:szCs w:val="28"/>
              </w:rPr>
              <w:t>……</w:t>
            </w:r>
          </w:p>
        </w:tc>
        <w:tc>
          <w:tcPr>
            <w:tcW w:w="951" w:type="dxa"/>
            <w:vAlign w:val="center"/>
          </w:tcPr>
          <w:p>
            <w:pPr>
              <w:spacing w:line="300" w:lineRule="auto"/>
              <w:jc w:val="center"/>
              <w:rPr>
                <w:rFonts w:ascii="Times New Roman" w:hAnsi="Times New Roman" w:eastAsia="仿宋" w:cs="Times New Roman"/>
                <w:sz w:val="24"/>
                <w:szCs w:val="28"/>
              </w:rPr>
            </w:pPr>
            <w:r>
              <w:rPr>
                <w:rFonts w:ascii="Times New Roman" w:hAnsi="Times New Roman" w:eastAsia="仿宋" w:cs="Times New Roman"/>
                <w:sz w:val="24"/>
                <w:szCs w:val="28"/>
              </w:rPr>
              <w:t>……</w:t>
            </w:r>
          </w:p>
        </w:tc>
        <w:tc>
          <w:tcPr>
            <w:tcW w:w="1607" w:type="dxa"/>
            <w:vAlign w:val="center"/>
          </w:tcPr>
          <w:p>
            <w:pPr>
              <w:spacing w:line="300" w:lineRule="auto"/>
              <w:jc w:val="center"/>
              <w:rPr>
                <w:rFonts w:ascii="Times New Roman" w:hAnsi="Times New Roman" w:eastAsia="仿宋" w:cs="Times New Roman"/>
                <w:sz w:val="24"/>
                <w:szCs w:val="28"/>
              </w:rPr>
            </w:pPr>
            <w:r>
              <w:rPr>
                <w:rFonts w:ascii="Times New Roman" w:hAnsi="Times New Roman" w:eastAsia="仿宋" w:cs="Times New Roman"/>
                <w:sz w:val="24"/>
                <w:szCs w:val="28"/>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79" w:hRule="atLeast"/>
        </w:trPr>
        <w:tc>
          <w:tcPr>
            <w:tcW w:w="9286" w:type="dxa"/>
            <w:gridSpan w:val="7"/>
            <w:vAlign w:val="center"/>
          </w:tcPr>
          <w:p>
            <w:pPr>
              <w:spacing w:line="300" w:lineRule="auto"/>
              <w:jc w:val="center"/>
              <w:rPr>
                <w:rFonts w:ascii="Times New Roman" w:hAnsi="Times New Roman" w:eastAsia="仿宋" w:cs="Times New Roman"/>
                <w:sz w:val="24"/>
                <w:szCs w:val="28"/>
              </w:rPr>
            </w:pPr>
            <w:r>
              <w:rPr>
                <w:rFonts w:ascii="Times New Roman" w:hAnsi="Times New Roman" w:eastAsia="仿宋" w:cs="Times New Roman"/>
                <w:b/>
                <w:sz w:val="24"/>
                <w:szCs w:val="28"/>
              </w:rPr>
              <w:t>残疾人福利性单位生产产品的价格合计：</w:t>
            </w:r>
            <w:r>
              <w:rPr>
                <w:rFonts w:ascii="Times New Roman" w:hAnsi="Times New Roman" w:eastAsia="仿宋" w:cs="Times New Roman"/>
                <w:sz w:val="24"/>
                <w:szCs w:val="28"/>
              </w:rPr>
              <w:t>________元</w:t>
            </w:r>
          </w:p>
        </w:tc>
      </w:tr>
    </w:tbl>
    <w:p>
      <w:pPr>
        <w:spacing w:line="520" w:lineRule="exact"/>
        <w:rPr>
          <w:rFonts w:ascii="Times New Roman" w:hAnsi="Times New Roman" w:eastAsia="仿宋" w:cs="Times New Roman"/>
          <w:sz w:val="28"/>
          <w:szCs w:val="28"/>
        </w:rPr>
      </w:pPr>
    </w:p>
    <w:p>
      <w:pPr>
        <w:spacing w:line="520" w:lineRule="exact"/>
        <w:ind w:firstLine="560" w:firstLineChars="200"/>
        <w:rPr>
          <w:rFonts w:ascii="Times New Roman" w:hAnsi="Times New Roman" w:eastAsia="仿宋" w:cs="Times New Roman"/>
          <w:sz w:val="28"/>
          <w:szCs w:val="28"/>
        </w:rPr>
      </w:pPr>
    </w:p>
    <w:p>
      <w:pPr>
        <w:spacing w:line="520" w:lineRule="exact"/>
        <w:ind w:firstLine="3360" w:firstLineChars="1200"/>
        <w:rPr>
          <w:rFonts w:ascii="Times New Roman" w:hAnsi="Times New Roman" w:eastAsia="仿宋" w:cs="Times New Roman"/>
          <w:sz w:val="28"/>
        </w:rPr>
      </w:pPr>
      <w:r>
        <w:rPr>
          <w:rFonts w:ascii="Times New Roman" w:hAnsi="Times New Roman" w:eastAsia="仿宋" w:cs="Times New Roman"/>
          <w:sz w:val="28"/>
        </w:rPr>
        <w:t>投标人：</w:t>
      </w:r>
      <w:r>
        <w:rPr>
          <w:rFonts w:ascii="Times New Roman" w:hAnsi="Times New Roman" w:eastAsia="仿宋" w:cs="Times New Roman"/>
          <w:sz w:val="28"/>
          <w:u w:val="single"/>
        </w:rPr>
        <w:t>（名称和加盖公章）</w:t>
      </w:r>
    </w:p>
    <w:p>
      <w:pPr>
        <w:spacing w:line="520" w:lineRule="exact"/>
        <w:ind w:firstLine="3360" w:firstLineChars="1200"/>
        <w:rPr>
          <w:rFonts w:ascii="Times New Roman" w:hAnsi="Times New Roman" w:eastAsia="仿宋" w:cs="Times New Roman"/>
          <w:sz w:val="28"/>
        </w:rPr>
      </w:pPr>
    </w:p>
    <w:p>
      <w:pPr>
        <w:spacing w:line="520" w:lineRule="exact"/>
        <w:jc w:val="right"/>
        <w:rPr>
          <w:rFonts w:ascii="Times New Roman" w:hAnsi="Times New Roman" w:eastAsia="仿宋" w:cs="Times New Roman"/>
          <w:sz w:val="28"/>
        </w:rPr>
      </w:pPr>
      <w:r>
        <w:rPr>
          <w:rFonts w:ascii="Times New Roman" w:hAnsi="Times New Roman" w:eastAsia="仿宋" w:cs="Times New Roman"/>
          <w:sz w:val="28"/>
        </w:rPr>
        <w:t>______年___月___日</w:t>
      </w:r>
    </w:p>
    <w:p>
      <w:pPr>
        <w:spacing w:line="520" w:lineRule="exact"/>
        <w:ind w:firstLine="560" w:firstLineChars="200"/>
        <w:rPr>
          <w:rFonts w:ascii="Times New Roman" w:hAnsi="Times New Roman" w:eastAsia="仿宋" w:cs="Times New Roman"/>
          <w:sz w:val="28"/>
          <w:szCs w:val="28"/>
        </w:rPr>
      </w:pP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三、证明投标人业绩和荣誉的有关材料</w:t>
      </w: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（一）投标人类似项目业绩一览表</w:t>
      </w:r>
    </w:p>
    <w:tbl>
      <w:tblPr>
        <w:tblStyle w:val="16"/>
        <w:tblW w:w="9286"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731"/>
        <w:gridCol w:w="1711"/>
        <w:gridCol w:w="1711"/>
        <w:gridCol w:w="1711"/>
        <w:gridCol w:w="1711"/>
        <w:gridCol w:w="171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731" w:type="dxa"/>
          </w:tcPr>
          <w:p>
            <w:pPr>
              <w:spacing w:line="440" w:lineRule="exact"/>
              <w:jc w:val="center"/>
              <w:rPr>
                <w:rFonts w:ascii="Times New Roman" w:hAnsi="Times New Roman" w:eastAsia="仿宋" w:cs="Times New Roman"/>
                <w:b/>
                <w:sz w:val="24"/>
                <w:szCs w:val="28"/>
              </w:rPr>
            </w:pPr>
            <w:r>
              <w:rPr>
                <w:rFonts w:ascii="Times New Roman" w:hAnsi="Times New Roman" w:eastAsia="仿宋" w:cs="Times New Roman"/>
                <w:b/>
                <w:sz w:val="24"/>
                <w:szCs w:val="28"/>
              </w:rPr>
              <w:t>年份</w:t>
            </w:r>
          </w:p>
        </w:tc>
        <w:tc>
          <w:tcPr>
            <w:tcW w:w="1711" w:type="dxa"/>
          </w:tcPr>
          <w:p>
            <w:pPr>
              <w:spacing w:line="440" w:lineRule="exact"/>
              <w:jc w:val="center"/>
              <w:rPr>
                <w:rFonts w:ascii="Times New Roman" w:hAnsi="Times New Roman" w:eastAsia="仿宋" w:cs="Times New Roman"/>
                <w:b/>
                <w:sz w:val="24"/>
                <w:szCs w:val="28"/>
              </w:rPr>
            </w:pPr>
            <w:r>
              <w:rPr>
                <w:rFonts w:ascii="Times New Roman" w:hAnsi="Times New Roman" w:eastAsia="仿宋" w:cs="Times New Roman"/>
                <w:b/>
                <w:sz w:val="24"/>
                <w:szCs w:val="28"/>
              </w:rPr>
              <w:t>用户名称</w:t>
            </w:r>
          </w:p>
        </w:tc>
        <w:tc>
          <w:tcPr>
            <w:tcW w:w="1711" w:type="dxa"/>
          </w:tcPr>
          <w:p>
            <w:pPr>
              <w:spacing w:line="440" w:lineRule="exact"/>
              <w:jc w:val="center"/>
              <w:rPr>
                <w:rFonts w:ascii="Times New Roman" w:hAnsi="Times New Roman" w:eastAsia="仿宋" w:cs="Times New Roman"/>
                <w:b/>
                <w:sz w:val="24"/>
                <w:szCs w:val="28"/>
              </w:rPr>
            </w:pPr>
            <w:r>
              <w:rPr>
                <w:rFonts w:ascii="Times New Roman" w:hAnsi="Times New Roman" w:eastAsia="仿宋" w:cs="Times New Roman"/>
                <w:b/>
                <w:sz w:val="24"/>
                <w:szCs w:val="28"/>
              </w:rPr>
              <w:t>项目名称</w:t>
            </w:r>
          </w:p>
        </w:tc>
        <w:tc>
          <w:tcPr>
            <w:tcW w:w="1711" w:type="dxa"/>
          </w:tcPr>
          <w:p>
            <w:pPr>
              <w:spacing w:line="440" w:lineRule="exact"/>
              <w:jc w:val="center"/>
              <w:rPr>
                <w:rFonts w:ascii="Times New Roman" w:hAnsi="Times New Roman" w:eastAsia="仿宋" w:cs="Times New Roman"/>
                <w:b/>
                <w:sz w:val="24"/>
                <w:szCs w:val="28"/>
              </w:rPr>
            </w:pPr>
            <w:r>
              <w:rPr>
                <w:rFonts w:ascii="Times New Roman" w:hAnsi="Times New Roman" w:eastAsia="仿宋" w:cs="Times New Roman"/>
                <w:b/>
                <w:sz w:val="24"/>
                <w:szCs w:val="28"/>
              </w:rPr>
              <w:t>完成时间</w:t>
            </w:r>
          </w:p>
        </w:tc>
        <w:tc>
          <w:tcPr>
            <w:tcW w:w="1711" w:type="dxa"/>
          </w:tcPr>
          <w:p>
            <w:pPr>
              <w:spacing w:line="440" w:lineRule="exact"/>
              <w:jc w:val="center"/>
              <w:rPr>
                <w:rFonts w:ascii="Times New Roman" w:hAnsi="Times New Roman" w:eastAsia="仿宋" w:cs="Times New Roman"/>
                <w:b/>
                <w:sz w:val="24"/>
                <w:szCs w:val="28"/>
              </w:rPr>
            </w:pPr>
            <w:r>
              <w:rPr>
                <w:rFonts w:ascii="Times New Roman" w:hAnsi="Times New Roman" w:eastAsia="仿宋" w:cs="Times New Roman"/>
                <w:b/>
                <w:sz w:val="24"/>
                <w:szCs w:val="28"/>
              </w:rPr>
              <w:t>合同金额</w:t>
            </w:r>
          </w:p>
        </w:tc>
        <w:tc>
          <w:tcPr>
            <w:tcW w:w="1711" w:type="dxa"/>
          </w:tcPr>
          <w:p>
            <w:pPr>
              <w:spacing w:line="440" w:lineRule="exact"/>
              <w:jc w:val="center"/>
              <w:rPr>
                <w:rFonts w:ascii="Times New Roman" w:hAnsi="Times New Roman" w:eastAsia="仿宋" w:cs="Times New Roman"/>
                <w:b/>
                <w:sz w:val="24"/>
                <w:szCs w:val="28"/>
              </w:rPr>
            </w:pPr>
            <w:r>
              <w:rPr>
                <w:rFonts w:ascii="Times New Roman" w:hAnsi="Times New Roman" w:eastAsia="仿宋" w:cs="Times New Roman"/>
                <w:b/>
                <w:sz w:val="24"/>
                <w:szCs w:val="28"/>
              </w:rPr>
              <w:t>完成项目质量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731" w:type="dxa"/>
          </w:tcPr>
          <w:p>
            <w:pPr>
              <w:spacing w:line="440" w:lineRule="exact"/>
              <w:jc w:val="center"/>
              <w:rPr>
                <w:rFonts w:ascii="Times New Roman" w:hAnsi="Times New Roman" w:eastAsia="仿宋" w:cs="Times New Roman"/>
                <w:sz w:val="24"/>
                <w:szCs w:val="28"/>
              </w:rPr>
            </w:pPr>
          </w:p>
        </w:tc>
        <w:tc>
          <w:tcPr>
            <w:tcW w:w="1711" w:type="dxa"/>
          </w:tcPr>
          <w:p>
            <w:pPr>
              <w:spacing w:line="440" w:lineRule="exact"/>
              <w:jc w:val="center"/>
              <w:rPr>
                <w:rFonts w:ascii="Times New Roman" w:hAnsi="Times New Roman" w:eastAsia="仿宋" w:cs="Times New Roman"/>
                <w:sz w:val="24"/>
                <w:szCs w:val="28"/>
              </w:rPr>
            </w:pPr>
          </w:p>
        </w:tc>
        <w:tc>
          <w:tcPr>
            <w:tcW w:w="1711" w:type="dxa"/>
          </w:tcPr>
          <w:p>
            <w:pPr>
              <w:spacing w:line="440" w:lineRule="exact"/>
              <w:jc w:val="center"/>
              <w:rPr>
                <w:rFonts w:ascii="Times New Roman" w:hAnsi="Times New Roman" w:eastAsia="仿宋" w:cs="Times New Roman"/>
                <w:sz w:val="24"/>
                <w:szCs w:val="28"/>
              </w:rPr>
            </w:pPr>
          </w:p>
        </w:tc>
        <w:tc>
          <w:tcPr>
            <w:tcW w:w="1711" w:type="dxa"/>
          </w:tcPr>
          <w:p>
            <w:pPr>
              <w:spacing w:line="440" w:lineRule="exact"/>
              <w:jc w:val="center"/>
              <w:rPr>
                <w:rFonts w:ascii="Times New Roman" w:hAnsi="Times New Roman" w:eastAsia="仿宋" w:cs="Times New Roman"/>
                <w:sz w:val="24"/>
                <w:szCs w:val="28"/>
              </w:rPr>
            </w:pPr>
          </w:p>
        </w:tc>
        <w:tc>
          <w:tcPr>
            <w:tcW w:w="1711" w:type="dxa"/>
          </w:tcPr>
          <w:p>
            <w:pPr>
              <w:spacing w:line="440" w:lineRule="exact"/>
              <w:jc w:val="center"/>
              <w:rPr>
                <w:rFonts w:ascii="Times New Roman" w:hAnsi="Times New Roman" w:eastAsia="仿宋" w:cs="Times New Roman"/>
                <w:sz w:val="24"/>
                <w:szCs w:val="28"/>
              </w:rPr>
            </w:pPr>
          </w:p>
        </w:tc>
        <w:tc>
          <w:tcPr>
            <w:tcW w:w="1711" w:type="dxa"/>
          </w:tcPr>
          <w:p>
            <w:pPr>
              <w:spacing w:line="440" w:lineRule="exact"/>
              <w:jc w:val="center"/>
              <w:rPr>
                <w:rFonts w:ascii="Times New Roman" w:hAnsi="Times New Roman" w:eastAsia="仿宋" w:cs="Times New Roman"/>
                <w:sz w:val="24"/>
                <w:szCs w:val="2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731" w:type="dxa"/>
          </w:tcPr>
          <w:p>
            <w:pPr>
              <w:spacing w:line="440" w:lineRule="exact"/>
              <w:jc w:val="center"/>
              <w:rPr>
                <w:rFonts w:ascii="Times New Roman" w:hAnsi="Times New Roman" w:eastAsia="仿宋" w:cs="Times New Roman"/>
                <w:sz w:val="24"/>
                <w:szCs w:val="28"/>
              </w:rPr>
            </w:pPr>
          </w:p>
        </w:tc>
        <w:tc>
          <w:tcPr>
            <w:tcW w:w="1711" w:type="dxa"/>
          </w:tcPr>
          <w:p>
            <w:pPr>
              <w:spacing w:line="440" w:lineRule="exact"/>
              <w:jc w:val="center"/>
              <w:rPr>
                <w:rFonts w:ascii="Times New Roman" w:hAnsi="Times New Roman" w:eastAsia="仿宋" w:cs="Times New Roman"/>
                <w:sz w:val="24"/>
                <w:szCs w:val="28"/>
              </w:rPr>
            </w:pPr>
          </w:p>
        </w:tc>
        <w:tc>
          <w:tcPr>
            <w:tcW w:w="1711" w:type="dxa"/>
          </w:tcPr>
          <w:p>
            <w:pPr>
              <w:spacing w:line="440" w:lineRule="exact"/>
              <w:jc w:val="center"/>
              <w:rPr>
                <w:rFonts w:ascii="Times New Roman" w:hAnsi="Times New Roman" w:eastAsia="仿宋" w:cs="Times New Roman"/>
                <w:sz w:val="24"/>
                <w:szCs w:val="28"/>
              </w:rPr>
            </w:pPr>
          </w:p>
        </w:tc>
        <w:tc>
          <w:tcPr>
            <w:tcW w:w="1711" w:type="dxa"/>
          </w:tcPr>
          <w:p>
            <w:pPr>
              <w:spacing w:line="440" w:lineRule="exact"/>
              <w:jc w:val="center"/>
              <w:rPr>
                <w:rFonts w:ascii="Times New Roman" w:hAnsi="Times New Roman" w:eastAsia="仿宋" w:cs="Times New Roman"/>
                <w:sz w:val="24"/>
                <w:szCs w:val="28"/>
              </w:rPr>
            </w:pPr>
          </w:p>
        </w:tc>
        <w:tc>
          <w:tcPr>
            <w:tcW w:w="1711" w:type="dxa"/>
          </w:tcPr>
          <w:p>
            <w:pPr>
              <w:spacing w:line="440" w:lineRule="exact"/>
              <w:jc w:val="center"/>
              <w:rPr>
                <w:rFonts w:ascii="Times New Roman" w:hAnsi="Times New Roman" w:eastAsia="仿宋" w:cs="Times New Roman"/>
                <w:sz w:val="24"/>
                <w:szCs w:val="28"/>
              </w:rPr>
            </w:pPr>
          </w:p>
        </w:tc>
        <w:tc>
          <w:tcPr>
            <w:tcW w:w="1711" w:type="dxa"/>
          </w:tcPr>
          <w:p>
            <w:pPr>
              <w:spacing w:line="440" w:lineRule="exact"/>
              <w:jc w:val="center"/>
              <w:rPr>
                <w:rFonts w:ascii="Times New Roman" w:hAnsi="Times New Roman" w:eastAsia="仿宋" w:cs="Times New Roman"/>
                <w:sz w:val="24"/>
                <w:szCs w:val="2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731" w:type="dxa"/>
          </w:tcPr>
          <w:p>
            <w:pPr>
              <w:spacing w:line="440" w:lineRule="exact"/>
              <w:jc w:val="center"/>
              <w:rPr>
                <w:rFonts w:ascii="Times New Roman" w:hAnsi="Times New Roman" w:eastAsia="仿宋" w:cs="Times New Roman"/>
                <w:sz w:val="24"/>
                <w:szCs w:val="28"/>
              </w:rPr>
            </w:pPr>
            <w:r>
              <w:rPr>
                <w:rFonts w:ascii="Times New Roman" w:hAnsi="Times New Roman" w:eastAsia="仿宋" w:cs="Times New Roman"/>
                <w:sz w:val="24"/>
                <w:szCs w:val="24"/>
              </w:rPr>
              <w:t>……</w:t>
            </w:r>
          </w:p>
        </w:tc>
        <w:tc>
          <w:tcPr>
            <w:tcW w:w="1711" w:type="dxa"/>
          </w:tcPr>
          <w:p>
            <w:pPr>
              <w:spacing w:line="440" w:lineRule="exact"/>
              <w:jc w:val="center"/>
              <w:rPr>
                <w:rFonts w:ascii="Times New Roman" w:hAnsi="Times New Roman" w:eastAsia="仿宋" w:cs="Times New Roman"/>
                <w:sz w:val="24"/>
                <w:szCs w:val="28"/>
              </w:rPr>
            </w:pPr>
            <w:r>
              <w:rPr>
                <w:rFonts w:ascii="Times New Roman" w:hAnsi="Times New Roman" w:eastAsia="仿宋" w:cs="Times New Roman"/>
                <w:sz w:val="24"/>
                <w:szCs w:val="24"/>
              </w:rPr>
              <w:t>……</w:t>
            </w:r>
          </w:p>
        </w:tc>
        <w:tc>
          <w:tcPr>
            <w:tcW w:w="1711" w:type="dxa"/>
          </w:tcPr>
          <w:p>
            <w:pPr>
              <w:spacing w:line="440" w:lineRule="exact"/>
              <w:jc w:val="center"/>
              <w:rPr>
                <w:rFonts w:ascii="Times New Roman" w:hAnsi="Times New Roman" w:eastAsia="仿宋" w:cs="Times New Roman"/>
                <w:sz w:val="24"/>
                <w:szCs w:val="28"/>
              </w:rPr>
            </w:pPr>
            <w:r>
              <w:rPr>
                <w:rFonts w:ascii="Times New Roman" w:hAnsi="Times New Roman" w:eastAsia="仿宋" w:cs="Times New Roman"/>
                <w:sz w:val="24"/>
                <w:szCs w:val="24"/>
              </w:rPr>
              <w:t>……</w:t>
            </w:r>
          </w:p>
        </w:tc>
        <w:tc>
          <w:tcPr>
            <w:tcW w:w="1711" w:type="dxa"/>
          </w:tcPr>
          <w:p>
            <w:pPr>
              <w:spacing w:line="440" w:lineRule="exact"/>
              <w:jc w:val="center"/>
              <w:rPr>
                <w:rFonts w:ascii="Times New Roman" w:hAnsi="Times New Roman" w:eastAsia="仿宋" w:cs="Times New Roman"/>
                <w:sz w:val="24"/>
                <w:szCs w:val="28"/>
              </w:rPr>
            </w:pPr>
            <w:r>
              <w:rPr>
                <w:rFonts w:ascii="Times New Roman" w:hAnsi="Times New Roman" w:eastAsia="仿宋" w:cs="Times New Roman"/>
                <w:sz w:val="24"/>
                <w:szCs w:val="24"/>
              </w:rPr>
              <w:t>……</w:t>
            </w:r>
          </w:p>
        </w:tc>
        <w:tc>
          <w:tcPr>
            <w:tcW w:w="1711" w:type="dxa"/>
          </w:tcPr>
          <w:p>
            <w:pPr>
              <w:spacing w:line="440" w:lineRule="exact"/>
              <w:jc w:val="center"/>
              <w:rPr>
                <w:rFonts w:ascii="Times New Roman" w:hAnsi="Times New Roman" w:eastAsia="仿宋" w:cs="Times New Roman"/>
                <w:sz w:val="24"/>
                <w:szCs w:val="28"/>
              </w:rPr>
            </w:pPr>
            <w:r>
              <w:rPr>
                <w:rFonts w:ascii="Times New Roman" w:hAnsi="Times New Roman" w:eastAsia="仿宋" w:cs="Times New Roman"/>
                <w:sz w:val="24"/>
                <w:szCs w:val="24"/>
              </w:rPr>
              <w:t>……</w:t>
            </w:r>
          </w:p>
        </w:tc>
        <w:tc>
          <w:tcPr>
            <w:tcW w:w="1711" w:type="dxa"/>
          </w:tcPr>
          <w:p>
            <w:pPr>
              <w:spacing w:line="440" w:lineRule="exact"/>
              <w:jc w:val="center"/>
              <w:rPr>
                <w:rFonts w:ascii="Times New Roman" w:hAnsi="Times New Roman" w:eastAsia="仿宋" w:cs="Times New Roman"/>
                <w:sz w:val="24"/>
                <w:szCs w:val="28"/>
              </w:rPr>
            </w:pPr>
            <w:r>
              <w:rPr>
                <w:rFonts w:ascii="Times New Roman" w:hAnsi="Times New Roman" w:eastAsia="仿宋" w:cs="Times New Roman"/>
                <w:sz w:val="24"/>
                <w:szCs w:val="24"/>
              </w:rPr>
              <w:t>……</w:t>
            </w:r>
          </w:p>
        </w:tc>
      </w:tr>
    </w:tbl>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备注：投标人（仅限于投标人自己实施的）以上业绩需提供合同（复印件）等相关证明材料；“完成项目质量”需提供验收单或用户单位书面证明材料（复印件）。</w:t>
      </w:r>
    </w:p>
    <w:p>
      <w:pPr>
        <w:spacing w:line="520" w:lineRule="exact"/>
        <w:ind w:firstLine="560" w:firstLineChars="200"/>
        <w:rPr>
          <w:rFonts w:ascii="Times New Roman" w:hAnsi="Times New Roman" w:eastAsia="仿宋" w:cs="Times New Roman"/>
          <w:sz w:val="28"/>
          <w:szCs w:val="28"/>
        </w:rPr>
      </w:pPr>
    </w:p>
    <w:p>
      <w:pPr>
        <w:spacing w:line="520" w:lineRule="exact"/>
        <w:ind w:firstLine="3360" w:firstLineChars="1200"/>
        <w:rPr>
          <w:rFonts w:ascii="Times New Roman" w:hAnsi="Times New Roman" w:eastAsia="仿宋" w:cs="Times New Roman"/>
          <w:sz w:val="28"/>
        </w:rPr>
      </w:pPr>
      <w:r>
        <w:rPr>
          <w:rFonts w:ascii="Times New Roman" w:hAnsi="Times New Roman" w:eastAsia="仿宋" w:cs="Times New Roman"/>
          <w:sz w:val="28"/>
        </w:rPr>
        <w:t>投标人：</w:t>
      </w:r>
      <w:r>
        <w:rPr>
          <w:rFonts w:ascii="Times New Roman" w:hAnsi="Times New Roman" w:eastAsia="仿宋" w:cs="Times New Roman"/>
          <w:sz w:val="28"/>
          <w:u w:val="single"/>
        </w:rPr>
        <w:t>（名称和加盖公章）</w:t>
      </w:r>
    </w:p>
    <w:p>
      <w:pPr>
        <w:spacing w:line="520" w:lineRule="exact"/>
        <w:ind w:firstLine="3360" w:firstLineChars="1200"/>
        <w:rPr>
          <w:rFonts w:ascii="Times New Roman" w:hAnsi="Times New Roman" w:eastAsia="仿宋" w:cs="Times New Roman"/>
          <w:sz w:val="28"/>
        </w:rPr>
      </w:pPr>
      <w:r>
        <w:rPr>
          <w:rFonts w:ascii="Times New Roman" w:hAnsi="Times New Roman" w:eastAsia="仿宋" w:cs="Times New Roman"/>
          <w:sz w:val="28"/>
        </w:rPr>
        <w:t>供应商代表：</w:t>
      </w:r>
      <w:r>
        <w:rPr>
          <w:rFonts w:ascii="Times New Roman" w:hAnsi="Times New Roman" w:eastAsia="仿宋" w:cs="Times New Roman"/>
          <w:sz w:val="28"/>
          <w:u w:val="single"/>
        </w:rPr>
        <w:t>（签字）</w:t>
      </w:r>
    </w:p>
    <w:p>
      <w:pPr>
        <w:spacing w:line="520" w:lineRule="exact"/>
        <w:ind w:firstLine="4200" w:firstLineChars="1500"/>
        <w:rPr>
          <w:rFonts w:ascii="Times New Roman" w:hAnsi="Times New Roman" w:eastAsia="仿宋" w:cs="Times New Roman"/>
          <w:sz w:val="28"/>
          <w:u w:val="single"/>
        </w:rPr>
      </w:pPr>
    </w:p>
    <w:p>
      <w:pPr>
        <w:spacing w:line="520" w:lineRule="exact"/>
        <w:jc w:val="right"/>
        <w:rPr>
          <w:rFonts w:ascii="Times New Roman" w:hAnsi="Times New Roman" w:eastAsia="仿宋" w:cs="Times New Roman"/>
          <w:sz w:val="28"/>
        </w:rPr>
      </w:pPr>
      <w:r>
        <w:rPr>
          <w:rFonts w:ascii="Times New Roman" w:hAnsi="Times New Roman" w:eastAsia="仿宋" w:cs="Times New Roman"/>
          <w:sz w:val="28"/>
        </w:rPr>
        <w:t>______年___月___日</w:t>
      </w: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（二）投标人荣誉有关资料</w:t>
      </w:r>
    </w:p>
    <w:p>
      <w:pPr>
        <w:spacing w:line="520" w:lineRule="exact"/>
        <w:ind w:firstLine="560" w:firstLineChars="200"/>
        <w:rPr>
          <w:rFonts w:ascii="Times New Roman" w:hAnsi="Times New Roman" w:eastAsia="仿宋" w:cs="Times New Roman"/>
          <w:b/>
          <w:sz w:val="28"/>
          <w:szCs w:val="28"/>
        </w:rPr>
      </w:pPr>
      <w:r>
        <w:rPr>
          <w:rFonts w:ascii="Times New Roman" w:hAnsi="Times New Roman" w:eastAsia="仿宋" w:cs="Times New Roman"/>
          <w:sz w:val="28"/>
          <w:szCs w:val="28"/>
        </w:rPr>
        <w:t>__________________</w:t>
      </w: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四、商务应答表</w:t>
      </w:r>
    </w:p>
    <w:tbl>
      <w:tblPr>
        <w:tblStyle w:val="16"/>
        <w:tblW w:w="9286"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17"/>
        <w:gridCol w:w="3614"/>
        <w:gridCol w:w="3614"/>
        <w:gridCol w:w="124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817" w:type="dxa"/>
          </w:tcPr>
          <w:p>
            <w:pPr>
              <w:spacing w:line="440" w:lineRule="exact"/>
              <w:jc w:val="center"/>
              <w:rPr>
                <w:rFonts w:ascii="Times New Roman" w:hAnsi="Times New Roman" w:eastAsia="仿宋" w:cs="Times New Roman"/>
                <w:b/>
                <w:sz w:val="24"/>
                <w:szCs w:val="24"/>
              </w:rPr>
            </w:pPr>
            <w:r>
              <w:rPr>
                <w:rFonts w:ascii="Times New Roman" w:hAnsi="Times New Roman" w:eastAsia="仿宋" w:cs="Times New Roman"/>
                <w:b/>
                <w:sz w:val="24"/>
                <w:szCs w:val="24"/>
              </w:rPr>
              <w:t>序号</w:t>
            </w:r>
          </w:p>
        </w:tc>
        <w:tc>
          <w:tcPr>
            <w:tcW w:w="3614" w:type="dxa"/>
          </w:tcPr>
          <w:p>
            <w:pPr>
              <w:spacing w:line="440" w:lineRule="exact"/>
              <w:jc w:val="center"/>
              <w:rPr>
                <w:rFonts w:ascii="Times New Roman" w:hAnsi="Times New Roman" w:eastAsia="仿宋" w:cs="Times New Roman"/>
                <w:b/>
                <w:sz w:val="24"/>
                <w:szCs w:val="24"/>
              </w:rPr>
            </w:pPr>
            <w:r>
              <w:rPr>
                <w:rFonts w:ascii="Times New Roman" w:hAnsi="Times New Roman" w:eastAsia="仿宋" w:cs="Times New Roman"/>
                <w:b/>
                <w:sz w:val="24"/>
                <w:szCs w:val="24"/>
              </w:rPr>
              <w:t>招标要求</w:t>
            </w:r>
          </w:p>
        </w:tc>
        <w:tc>
          <w:tcPr>
            <w:tcW w:w="3614" w:type="dxa"/>
          </w:tcPr>
          <w:p>
            <w:pPr>
              <w:spacing w:line="440" w:lineRule="exact"/>
              <w:jc w:val="center"/>
              <w:rPr>
                <w:rFonts w:ascii="Times New Roman" w:hAnsi="Times New Roman" w:eastAsia="仿宋" w:cs="Times New Roman"/>
                <w:b/>
                <w:sz w:val="24"/>
                <w:szCs w:val="24"/>
              </w:rPr>
            </w:pPr>
            <w:r>
              <w:rPr>
                <w:rFonts w:ascii="Times New Roman" w:hAnsi="Times New Roman" w:eastAsia="仿宋" w:cs="Times New Roman"/>
                <w:b/>
                <w:sz w:val="24"/>
                <w:szCs w:val="24"/>
              </w:rPr>
              <w:t>投标应答</w:t>
            </w:r>
          </w:p>
        </w:tc>
        <w:tc>
          <w:tcPr>
            <w:tcW w:w="1241" w:type="dxa"/>
          </w:tcPr>
          <w:p>
            <w:pPr>
              <w:spacing w:line="440" w:lineRule="exact"/>
              <w:jc w:val="center"/>
              <w:rPr>
                <w:rFonts w:ascii="Times New Roman" w:hAnsi="Times New Roman" w:eastAsia="仿宋" w:cs="Times New Roman"/>
                <w:b/>
                <w:sz w:val="24"/>
                <w:szCs w:val="24"/>
              </w:rPr>
            </w:pPr>
            <w:r>
              <w:rPr>
                <w:rFonts w:ascii="Times New Roman" w:hAnsi="Times New Roman" w:eastAsia="仿宋" w:cs="Times New Roman"/>
                <w:b/>
                <w:sz w:val="24"/>
                <w:szCs w:val="24"/>
              </w:rPr>
              <w:t>响应情况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817" w:type="dxa"/>
          </w:tcPr>
          <w:p>
            <w:pPr>
              <w:spacing w:line="440" w:lineRule="exact"/>
              <w:jc w:val="center"/>
              <w:rPr>
                <w:rFonts w:ascii="Times New Roman" w:hAnsi="Times New Roman" w:eastAsia="仿宋" w:cs="Times New Roman"/>
                <w:sz w:val="24"/>
                <w:szCs w:val="24"/>
              </w:rPr>
            </w:pPr>
          </w:p>
        </w:tc>
        <w:tc>
          <w:tcPr>
            <w:tcW w:w="3614" w:type="dxa"/>
          </w:tcPr>
          <w:p>
            <w:pPr>
              <w:spacing w:line="440" w:lineRule="exact"/>
              <w:jc w:val="center"/>
              <w:rPr>
                <w:rFonts w:ascii="Times New Roman" w:hAnsi="Times New Roman" w:eastAsia="仿宋" w:cs="Times New Roman"/>
                <w:sz w:val="24"/>
                <w:szCs w:val="24"/>
              </w:rPr>
            </w:pPr>
          </w:p>
        </w:tc>
        <w:tc>
          <w:tcPr>
            <w:tcW w:w="3614" w:type="dxa"/>
          </w:tcPr>
          <w:p>
            <w:pPr>
              <w:spacing w:line="440" w:lineRule="exact"/>
              <w:jc w:val="center"/>
              <w:rPr>
                <w:rFonts w:ascii="Times New Roman" w:hAnsi="Times New Roman" w:eastAsia="仿宋" w:cs="Times New Roman"/>
                <w:sz w:val="24"/>
                <w:szCs w:val="24"/>
              </w:rPr>
            </w:pPr>
          </w:p>
        </w:tc>
        <w:tc>
          <w:tcPr>
            <w:tcW w:w="1241" w:type="dxa"/>
          </w:tcPr>
          <w:p>
            <w:pPr>
              <w:spacing w:line="440" w:lineRule="exact"/>
              <w:jc w:val="center"/>
              <w:rPr>
                <w:rFonts w:ascii="Times New Roman" w:hAnsi="Times New Roman" w:eastAsia="仿宋" w:cs="Times New Roman"/>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817" w:type="dxa"/>
          </w:tcPr>
          <w:p>
            <w:pPr>
              <w:spacing w:line="440" w:lineRule="exact"/>
              <w:jc w:val="center"/>
              <w:rPr>
                <w:rFonts w:ascii="Times New Roman" w:hAnsi="Times New Roman" w:eastAsia="仿宋" w:cs="Times New Roman"/>
                <w:sz w:val="24"/>
                <w:szCs w:val="24"/>
              </w:rPr>
            </w:pPr>
          </w:p>
        </w:tc>
        <w:tc>
          <w:tcPr>
            <w:tcW w:w="3614" w:type="dxa"/>
          </w:tcPr>
          <w:p>
            <w:pPr>
              <w:spacing w:line="440" w:lineRule="exact"/>
              <w:jc w:val="center"/>
              <w:rPr>
                <w:rFonts w:ascii="Times New Roman" w:hAnsi="Times New Roman" w:eastAsia="仿宋" w:cs="Times New Roman"/>
                <w:sz w:val="24"/>
                <w:szCs w:val="24"/>
              </w:rPr>
            </w:pPr>
          </w:p>
        </w:tc>
        <w:tc>
          <w:tcPr>
            <w:tcW w:w="3614" w:type="dxa"/>
          </w:tcPr>
          <w:p>
            <w:pPr>
              <w:spacing w:line="440" w:lineRule="exact"/>
              <w:jc w:val="center"/>
              <w:rPr>
                <w:rFonts w:ascii="Times New Roman" w:hAnsi="Times New Roman" w:eastAsia="仿宋" w:cs="Times New Roman"/>
                <w:sz w:val="24"/>
                <w:szCs w:val="24"/>
              </w:rPr>
            </w:pPr>
          </w:p>
        </w:tc>
        <w:tc>
          <w:tcPr>
            <w:tcW w:w="1241" w:type="dxa"/>
          </w:tcPr>
          <w:p>
            <w:pPr>
              <w:spacing w:line="440" w:lineRule="exact"/>
              <w:jc w:val="center"/>
              <w:rPr>
                <w:rFonts w:ascii="Times New Roman" w:hAnsi="Times New Roman" w:eastAsia="仿宋" w:cs="Times New Roman"/>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817" w:type="dxa"/>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3614" w:type="dxa"/>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3614" w:type="dxa"/>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1241" w:type="dxa"/>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r>
    </w:tbl>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备注：投标人需对照招标要求的顺序据实填写。“响应情况”一列，填写“响应”、“部分响应”或“不响应”。</w:t>
      </w:r>
    </w:p>
    <w:p>
      <w:pPr>
        <w:spacing w:line="520" w:lineRule="exact"/>
        <w:ind w:firstLine="560" w:firstLineChars="200"/>
        <w:rPr>
          <w:rFonts w:ascii="Times New Roman" w:hAnsi="Times New Roman" w:eastAsia="仿宋" w:cs="Times New Roman"/>
          <w:sz w:val="28"/>
          <w:szCs w:val="28"/>
        </w:rPr>
      </w:pPr>
    </w:p>
    <w:p>
      <w:pPr>
        <w:spacing w:line="520" w:lineRule="exact"/>
        <w:ind w:firstLine="3360" w:firstLineChars="1200"/>
        <w:rPr>
          <w:rFonts w:ascii="Times New Roman" w:hAnsi="Times New Roman" w:eastAsia="仿宋" w:cs="Times New Roman"/>
          <w:sz w:val="28"/>
        </w:rPr>
      </w:pPr>
      <w:r>
        <w:rPr>
          <w:rFonts w:ascii="Times New Roman" w:hAnsi="Times New Roman" w:eastAsia="仿宋" w:cs="Times New Roman"/>
          <w:sz w:val="28"/>
        </w:rPr>
        <w:t>投标人：</w:t>
      </w:r>
      <w:r>
        <w:rPr>
          <w:rFonts w:ascii="Times New Roman" w:hAnsi="Times New Roman" w:eastAsia="仿宋" w:cs="Times New Roman"/>
          <w:sz w:val="28"/>
          <w:u w:val="single"/>
        </w:rPr>
        <w:t>（名称和加盖公章）</w:t>
      </w:r>
    </w:p>
    <w:p>
      <w:pPr>
        <w:spacing w:line="520" w:lineRule="exact"/>
        <w:ind w:firstLine="3360" w:firstLineChars="1200"/>
        <w:rPr>
          <w:rFonts w:ascii="Times New Roman" w:hAnsi="Times New Roman" w:eastAsia="仿宋" w:cs="Times New Roman"/>
          <w:sz w:val="28"/>
        </w:rPr>
      </w:pPr>
      <w:r>
        <w:rPr>
          <w:rFonts w:ascii="Times New Roman" w:hAnsi="Times New Roman" w:eastAsia="仿宋" w:cs="Times New Roman"/>
          <w:sz w:val="28"/>
        </w:rPr>
        <w:t>供应商代表：</w:t>
      </w:r>
      <w:r>
        <w:rPr>
          <w:rFonts w:ascii="Times New Roman" w:hAnsi="Times New Roman" w:eastAsia="仿宋" w:cs="Times New Roman"/>
          <w:sz w:val="28"/>
          <w:u w:val="single"/>
        </w:rPr>
        <w:t>（签字）</w:t>
      </w:r>
    </w:p>
    <w:p>
      <w:pPr>
        <w:spacing w:line="520" w:lineRule="exact"/>
        <w:ind w:firstLine="3360" w:firstLineChars="1200"/>
        <w:rPr>
          <w:rFonts w:ascii="Times New Roman" w:hAnsi="Times New Roman" w:eastAsia="仿宋" w:cs="Times New Roman"/>
          <w:sz w:val="28"/>
        </w:rPr>
      </w:pPr>
    </w:p>
    <w:p>
      <w:pPr>
        <w:spacing w:line="520" w:lineRule="exact"/>
        <w:jc w:val="right"/>
        <w:rPr>
          <w:rFonts w:ascii="Times New Roman" w:hAnsi="Times New Roman" w:eastAsia="仿宋" w:cs="Times New Roman"/>
          <w:sz w:val="28"/>
        </w:rPr>
      </w:pPr>
      <w:r>
        <w:rPr>
          <w:rFonts w:ascii="Times New Roman" w:hAnsi="Times New Roman" w:eastAsia="仿宋" w:cs="Times New Roman"/>
          <w:sz w:val="28"/>
        </w:rPr>
        <w:t>______年___月___日</w:t>
      </w:r>
    </w:p>
    <w:p>
      <w:pPr>
        <w:spacing w:line="520" w:lineRule="exact"/>
        <w:ind w:firstLine="562" w:firstLineChars="200"/>
        <w:rPr>
          <w:rFonts w:ascii="Times New Roman" w:hAnsi="Times New Roman" w:eastAsia="仿宋" w:cs="Times New Roman"/>
          <w:b/>
          <w:sz w:val="28"/>
          <w:szCs w:val="28"/>
        </w:rPr>
      </w:pP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五、投标人认为需要提供的其它相关资料</w:t>
      </w: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__________________</w:t>
      </w:r>
      <w:r>
        <w:rPr>
          <w:rFonts w:ascii="Times New Roman" w:hAnsi="Times New Roman" w:eastAsia="仿宋" w:cs="Times New Roman"/>
          <w:b/>
          <w:sz w:val="28"/>
          <w:szCs w:val="28"/>
        </w:rPr>
        <w:br w:type="page"/>
      </w:r>
    </w:p>
    <w:p>
      <w:pPr>
        <w:spacing w:line="520" w:lineRule="exact"/>
        <w:jc w:val="center"/>
        <w:rPr>
          <w:rFonts w:ascii="Times New Roman" w:hAnsi="Times New Roman" w:eastAsia="仿宋" w:cs="Times New Roman"/>
          <w:b/>
          <w:sz w:val="30"/>
          <w:szCs w:val="30"/>
        </w:rPr>
      </w:pPr>
      <w:r>
        <w:rPr>
          <w:rFonts w:ascii="Times New Roman" w:hAnsi="Times New Roman" w:eastAsia="仿宋" w:cs="Times New Roman"/>
          <w:b/>
          <w:sz w:val="30"/>
          <w:szCs w:val="30"/>
        </w:rPr>
        <w:t>第三节 技术部分</w:t>
      </w:r>
    </w:p>
    <w:p>
      <w:pPr>
        <w:spacing w:line="520" w:lineRule="exact"/>
        <w:ind w:firstLine="562" w:firstLineChars="200"/>
        <w:rPr>
          <w:rFonts w:ascii="Times New Roman" w:hAnsi="Times New Roman" w:eastAsia="仿宋" w:cs="Times New Roman"/>
          <w:b/>
          <w:sz w:val="28"/>
          <w:szCs w:val="28"/>
        </w:rPr>
      </w:pPr>
    </w:p>
    <w:p>
      <w:pPr>
        <w:spacing w:line="520" w:lineRule="exact"/>
        <w:ind w:firstLine="562" w:firstLineChars="200"/>
        <w:rPr>
          <w:rFonts w:ascii="Times New Roman" w:hAnsi="Times New Roman" w:eastAsia="仿宋" w:cs="Times New Roman"/>
          <w:b/>
          <w:sz w:val="28"/>
          <w:szCs w:val="28"/>
        </w:rPr>
      </w:pPr>
      <w:bookmarkStart w:id="10" w:name="_Hlk497229561"/>
      <w:r>
        <w:rPr>
          <w:rFonts w:ascii="Times New Roman" w:hAnsi="Times New Roman" w:eastAsia="仿宋" w:cs="Times New Roman"/>
          <w:b/>
          <w:sz w:val="28"/>
          <w:szCs w:val="28"/>
        </w:rPr>
        <w:t>一、投标产品的品牌、型号、技术参数</w:t>
      </w:r>
    </w:p>
    <w:tbl>
      <w:tblPr>
        <w:tblStyle w:val="16"/>
        <w:tblW w:w="928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190"/>
        <w:gridCol w:w="2013"/>
        <w:gridCol w:w="2424"/>
        <w:gridCol w:w="365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9" w:hRule="atLeast"/>
        </w:trPr>
        <w:tc>
          <w:tcPr>
            <w:tcW w:w="1190" w:type="dxa"/>
          </w:tcPr>
          <w:p>
            <w:pPr>
              <w:spacing w:line="440" w:lineRule="exact"/>
              <w:jc w:val="center"/>
              <w:rPr>
                <w:rFonts w:ascii="Times New Roman" w:hAnsi="Times New Roman" w:eastAsia="仿宋" w:cs="Times New Roman"/>
                <w:b/>
                <w:sz w:val="24"/>
                <w:szCs w:val="28"/>
              </w:rPr>
            </w:pPr>
            <w:r>
              <w:rPr>
                <w:rFonts w:ascii="Times New Roman" w:hAnsi="Times New Roman" w:eastAsia="仿宋" w:cs="Times New Roman"/>
                <w:b/>
                <w:sz w:val="24"/>
                <w:szCs w:val="28"/>
              </w:rPr>
              <w:t>序号</w:t>
            </w:r>
          </w:p>
        </w:tc>
        <w:tc>
          <w:tcPr>
            <w:tcW w:w="2013" w:type="dxa"/>
          </w:tcPr>
          <w:p>
            <w:pPr>
              <w:spacing w:line="440" w:lineRule="exact"/>
              <w:jc w:val="center"/>
              <w:rPr>
                <w:rFonts w:ascii="Times New Roman" w:hAnsi="Times New Roman" w:eastAsia="仿宋" w:cs="Times New Roman"/>
                <w:b/>
                <w:sz w:val="24"/>
                <w:szCs w:val="28"/>
              </w:rPr>
            </w:pPr>
            <w:r>
              <w:rPr>
                <w:rFonts w:ascii="Times New Roman" w:hAnsi="Times New Roman" w:eastAsia="仿宋" w:cs="Times New Roman"/>
                <w:b/>
                <w:sz w:val="24"/>
                <w:szCs w:val="28"/>
              </w:rPr>
              <w:t>采购内容</w:t>
            </w:r>
          </w:p>
        </w:tc>
        <w:tc>
          <w:tcPr>
            <w:tcW w:w="2424" w:type="dxa"/>
          </w:tcPr>
          <w:p>
            <w:pPr>
              <w:spacing w:line="440" w:lineRule="exact"/>
              <w:jc w:val="center"/>
              <w:rPr>
                <w:rFonts w:ascii="Times New Roman" w:hAnsi="Times New Roman" w:eastAsia="仿宋" w:cs="Times New Roman"/>
                <w:b/>
                <w:sz w:val="24"/>
                <w:szCs w:val="28"/>
              </w:rPr>
            </w:pPr>
            <w:r>
              <w:rPr>
                <w:rFonts w:ascii="Times New Roman" w:hAnsi="Times New Roman" w:eastAsia="仿宋" w:cs="Times New Roman"/>
                <w:b/>
                <w:sz w:val="24"/>
                <w:szCs w:val="28"/>
              </w:rPr>
              <w:t>品牌、型号</w:t>
            </w:r>
          </w:p>
        </w:tc>
        <w:tc>
          <w:tcPr>
            <w:tcW w:w="3659" w:type="dxa"/>
          </w:tcPr>
          <w:p>
            <w:pPr>
              <w:spacing w:line="440" w:lineRule="exact"/>
              <w:jc w:val="center"/>
              <w:rPr>
                <w:rFonts w:ascii="Times New Roman" w:hAnsi="Times New Roman" w:eastAsia="仿宋" w:cs="Times New Roman"/>
                <w:b/>
                <w:sz w:val="24"/>
                <w:szCs w:val="28"/>
              </w:rPr>
            </w:pPr>
            <w:r>
              <w:rPr>
                <w:rFonts w:ascii="Times New Roman" w:hAnsi="Times New Roman" w:eastAsia="仿宋" w:cs="Times New Roman"/>
                <w:b/>
                <w:sz w:val="24"/>
                <w:szCs w:val="28"/>
              </w:rPr>
              <w:t>投标产品技术参数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9" w:hRule="atLeast"/>
        </w:trPr>
        <w:tc>
          <w:tcPr>
            <w:tcW w:w="1190" w:type="dxa"/>
          </w:tcPr>
          <w:p>
            <w:pPr>
              <w:spacing w:line="440" w:lineRule="exact"/>
              <w:jc w:val="center"/>
              <w:rPr>
                <w:rFonts w:ascii="Times New Roman" w:hAnsi="Times New Roman" w:eastAsia="仿宋" w:cs="Times New Roman"/>
                <w:sz w:val="24"/>
                <w:szCs w:val="28"/>
              </w:rPr>
            </w:pPr>
          </w:p>
        </w:tc>
        <w:tc>
          <w:tcPr>
            <w:tcW w:w="2013" w:type="dxa"/>
          </w:tcPr>
          <w:p>
            <w:pPr>
              <w:spacing w:line="440" w:lineRule="exact"/>
              <w:jc w:val="center"/>
              <w:rPr>
                <w:rFonts w:ascii="Times New Roman" w:hAnsi="Times New Roman" w:eastAsia="仿宋" w:cs="Times New Roman"/>
                <w:sz w:val="24"/>
                <w:szCs w:val="28"/>
              </w:rPr>
            </w:pPr>
          </w:p>
        </w:tc>
        <w:tc>
          <w:tcPr>
            <w:tcW w:w="2424" w:type="dxa"/>
          </w:tcPr>
          <w:p>
            <w:pPr>
              <w:spacing w:line="440" w:lineRule="exact"/>
              <w:jc w:val="center"/>
              <w:rPr>
                <w:rFonts w:ascii="Times New Roman" w:hAnsi="Times New Roman" w:eastAsia="仿宋" w:cs="Times New Roman"/>
                <w:sz w:val="24"/>
                <w:szCs w:val="28"/>
              </w:rPr>
            </w:pPr>
          </w:p>
        </w:tc>
        <w:tc>
          <w:tcPr>
            <w:tcW w:w="3659" w:type="dxa"/>
          </w:tcPr>
          <w:p>
            <w:pPr>
              <w:spacing w:line="440" w:lineRule="exact"/>
              <w:jc w:val="center"/>
              <w:rPr>
                <w:rFonts w:ascii="Times New Roman" w:hAnsi="Times New Roman" w:eastAsia="仿宋" w:cs="Times New Roman"/>
                <w:sz w:val="24"/>
                <w:szCs w:val="2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9" w:hRule="atLeast"/>
        </w:trPr>
        <w:tc>
          <w:tcPr>
            <w:tcW w:w="1190" w:type="dxa"/>
          </w:tcPr>
          <w:p>
            <w:pPr>
              <w:spacing w:line="440" w:lineRule="exact"/>
              <w:jc w:val="center"/>
              <w:rPr>
                <w:rFonts w:ascii="Times New Roman" w:hAnsi="Times New Roman" w:eastAsia="仿宋" w:cs="Times New Roman"/>
                <w:sz w:val="24"/>
                <w:szCs w:val="28"/>
              </w:rPr>
            </w:pPr>
          </w:p>
        </w:tc>
        <w:tc>
          <w:tcPr>
            <w:tcW w:w="2013" w:type="dxa"/>
          </w:tcPr>
          <w:p>
            <w:pPr>
              <w:spacing w:line="440" w:lineRule="exact"/>
              <w:jc w:val="center"/>
              <w:rPr>
                <w:rFonts w:ascii="Times New Roman" w:hAnsi="Times New Roman" w:eastAsia="仿宋" w:cs="Times New Roman"/>
                <w:sz w:val="24"/>
                <w:szCs w:val="28"/>
              </w:rPr>
            </w:pPr>
          </w:p>
        </w:tc>
        <w:tc>
          <w:tcPr>
            <w:tcW w:w="2424" w:type="dxa"/>
          </w:tcPr>
          <w:p>
            <w:pPr>
              <w:spacing w:line="440" w:lineRule="exact"/>
              <w:jc w:val="center"/>
              <w:rPr>
                <w:rFonts w:ascii="Times New Roman" w:hAnsi="Times New Roman" w:eastAsia="仿宋" w:cs="Times New Roman"/>
                <w:sz w:val="24"/>
                <w:szCs w:val="28"/>
              </w:rPr>
            </w:pPr>
          </w:p>
        </w:tc>
        <w:tc>
          <w:tcPr>
            <w:tcW w:w="3659" w:type="dxa"/>
          </w:tcPr>
          <w:p>
            <w:pPr>
              <w:spacing w:line="440" w:lineRule="exact"/>
              <w:jc w:val="center"/>
              <w:rPr>
                <w:rFonts w:ascii="Times New Roman" w:hAnsi="Times New Roman" w:eastAsia="仿宋" w:cs="Times New Roman"/>
                <w:sz w:val="24"/>
                <w:szCs w:val="2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9" w:hRule="atLeast"/>
        </w:trPr>
        <w:tc>
          <w:tcPr>
            <w:tcW w:w="1190" w:type="dxa"/>
          </w:tcPr>
          <w:p>
            <w:pPr>
              <w:spacing w:line="440" w:lineRule="exact"/>
              <w:jc w:val="center"/>
              <w:rPr>
                <w:rFonts w:ascii="Times New Roman" w:hAnsi="Times New Roman" w:eastAsia="仿宋" w:cs="Times New Roman"/>
                <w:sz w:val="24"/>
                <w:szCs w:val="28"/>
              </w:rPr>
            </w:pPr>
            <w:r>
              <w:rPr>
                <w:rFonts w:ascii="Times New Roman" w:hAnsi="Times New Roman" w:eastAsia="仿宋" w:cs="Times New Roman"/>
                <w:sz w:val="24"/>
                <w:szCs w:val="28"/>
              </w:rPr>
              <w:t>……</w:t>
            </w:r>
          </w:p>
        </w:tc>
        <w:tc>
          <w:tcPr>
            <w:tcW w:w="2013" w:type="dxa"/>
          </w:tcPr>
          <w:p>
            <w:pPr>
              <w:spacing w:line="440" w:lineRule="exact"/>
              <w:jc w:val="center"/>
              <w:rPr>
                <w:rFonts w:ascii="Times New Roman" w:hAnsi="Times New Roman" w:eastAsia="仿宋" w:cs="Times New Roman"/>
                <w:sz w:val="24"/>
                <w:szCs w:val="28"/>
              </w:rPr>
            </w:pPr>
            <w:r>
              <w:rPr>
                <w:rFonts w:ascii="Times New Roman" w:hAnsi="Times New Roman" w:eastAsia="仿宋" w:cs="Times New Roman"/>
                <w:sz w:val="24"/>
                <w:szCs w:val="28"/>
              </w:rPr>
              <w:t>……</w:t>
            </w:r>
          </w:p>
        </w:tc>
        <w:tc>
          <w:tcPr>
            <w:tcW w:w="2424" w:type="dxa"/>
          </w:tcPr>
          <w:p>
            <w:pPr>
              <w:spacing w:line="440" w:lineRule="exact"/>
              <w:jc w:val="center"/>
              <w:rPr>
                <w:rFonts w:ascii="Times New Roman" w:hAnsi="Times New Roman" w:eastAsia="仿宋" w:cs="Times New Roman"/>
                <w:sz w:val="24"/>
                <w:szCs w:val="28"/>
              </w:rPr>
            </w:pPr>
            <w:r>
              <w:rPr>
                <w:rFonts w:ascii="Times New Roman" w:hAnsi="Times New Roman" w:eastAsia="仿宋" w:cs="Times New Roman"/>
                <w:sz w:val="24"/>
                <w:szCs w:val="28"/>
              </w:rPr>
              <w:t>……</w:t>
            </w:r>
          </w:p>
        </w:tc>
        <w:tc>
          <w:tcPr>
            <w:tcW w:w="3659" w:type="dxa"/>
          </w:tcPr>
          <w:p>
            <w:pPr>
              <w:spacing w:line="440" w:lineRule="exact"/>
              <w:jc w:val="center"/>
              <w:rPr>
                <w:rFonts w:ascii="Times New Roman" w:hAnsi="Times New Roman" w:eastAsia="仿宋" w:cs="Times New Roman"/>
                <w:sz w:val="24"/>
                <w:szCs w:val="28"/>
              </w:rPr>
            </w:pPr>
            <w:r>
              <w:rPr>
                <w:rFonts w:ascii="Times New Roman" w:hAnsi="Times New Roman" w:eastAsia="仿宋" w:cs="Times New Roman"/>
                <w:sz w:val="24"/>
                <w:szCs w:val="28"/>
              </w:rPr>
              <w:t>……</w:t>
            </w:r>
          </w:p>
        </w:tc>
      </w:tr>
    </w:tbl>
    <w:p>
      <w:pPr>
        <w:spacing w:line="520" w:lineRule="exact"/>
        <w:ind w:firstLine="468"/>
        <w:rPr>
          <w:rFonts w:ascii="Times New Roman" w:hAnsi="Times New Roman" w:eastAsia="仿宋" w:cs="Times New Roman"/>
          <w:sz w:val="28"/>
          <w:szCs w:val="28"/>
        </w:rPr>
      </w:pPr>
      <w:r>
        <w:rPr>
          <w:rFonts w:ascii="Times New Roman" w:hAnsi="Times New Roman" w:eastAsia="仿宋" w:cs="Times New Roman"/>
          <w:sz w:val="28"/>
          <w:szCs w:val="28"/>
        </w:rPr>
        <w:t>备注：</w:t>
      </w:r>
    </w:p>
    <w:p>
      <w:pPr>
        <w:spacing w:line="520" w:lineRule="exact"/>
        <w:ind w:firstLine="468"/>
        <w:rPr>
          <w:rFonts w:ascii="Times New Roman" w:hAnsi="Times New Roman" w:eastAsia="仿宋" w:cs="Times New Roman"/>
          <w:sz w:val="28"/>
          <w:szCs w:val="28"/>
        </w:rPr>
      </w:pPr>
      <w:r>
        <w:rPr>
          <w:rFonts w:ascii="Times New Roman" w:hAnsi="Times New Roman" w:eastAsia="仿宋" w:cs="Times New Roman"/>
          <w:sz w:val="28"/>
          <w:szCs w:val="28"/>
        </w:rPr>
        <w:t>投标人需对照招标文件第五章第一条，逐项梳理填写本表。</w:t>
      </w:r>
    </w:p>
    <w:p>
      <w:pPr>
        <w:spacing w:line="520" w:lineRule="exact"/>
        <w:ind w:firstLine="468"/>
        <w:rPr>
          <w:rFonts w:ascii="Times New Roman" w:hAnsi="Times New Roman" w:eastAsia="仿宋" w:cs="Times New Roman"/>
          <w:sz w:val="28"/>
          <w:szCs w:val="28"/>
        </w:rPr>
      </w:pPr>
    </w:p>
    <w:p>
      <w:pPr>
        <w:spacing w:line="520" w:lineRule="exact"/>
        <w:ind w:firstLine="3360" w:firstLineChars="1200"/>
        <w:rPr>
          <w:rFonts w:ascii="Times New Roman" w:hAnsi="Times New Roman" w:eastAsia="仿宋" w:cs="Times New Roman"/>
          <w:sz w:val="28"/>
        </w:rPr>
      </w:pPr>
      <w:r>
        <w:rPr>
          <w:rFonts w:ascii="Times New Roman" w:hAnsi="Times New Roman" w:eastAsia="仿宋" w:cs="Times New Roman"/>
          <w:sz w:val="28"/>
        </w:rPr>
        <w:t>投标人：</w:t>
      </w:r>
      <w:r>
        <w:rPr>
          <w:rFonts w:ascii="Times New Roman" w:hAnsi="Times New Roman" w:eastAsia="仿宋" w:cs="Times New Roman"/>
          <w:sz w:val="28"/>
          <w:u w:val="single"/>
        </w:rPr>
        <w:t>（名称和加盖公章）</w:t>
      </w:r>
    </w:p>
    <w:p>
      <w:pPr>
        <w:spacing w:line="520" w:lineRule="exact"/>
        <w:ind w:firstLine="3360" w:firstLineChars="1200"/>
        <w:rPr>
          <w:rFonts w:ascii="Times New Roman" w:hAnsi="Times New Roman" w:eastAsia="仿宋" w:cs="Times New Roman"/>
          <w:sz w:val="28"/>
        </w:rPr>
      </w:pPr>
      <w:r>
        <w:rPr>
          <w:rFonts w:ascii="Times New Roman" w:hAnsi="Times New Roman" w:eastAsia="仿宋" w:cs="Times New Roman"/>
          <w:sz w:val="28"/>
        </w:rPr>
        <w:t>供应商代表：</w:t>
      </w:r>
      <w:r>
        <w:rPr>
          <w:rFonts w:ascii="Times New Roman" w:hAnsi="Times New Roman" w:eastAsia="仿宋" w:cs="Times New Roman"/>
          <w:sz w:val="28"/>
          <w:u w:val="single"/>
        </w:rPr>
        <w:t>（签字）</w:t>
      </w:r>
    </w:p>
    <w:p>
      <w:pPr>
        <w:spacing w:line="520" w:lineRule="exact"/>
        <w:ind w:firstLine="3640" w:firstLineChars="1300"/>
        <w:rPr>
          <w:rFonts w:ascii="Times New Roman" w:hAnsi="Times New Roman" w:eastAsia="仿宋" w:cs="Times New Roman"/>
          <w:sz w:val="28"/>
        </w:rPr>
      </w:pPr>
    </w:p>
    <w:p>
      <w:pPr>
        <w:spacing w:line="520" w:lineRule="exact"/>
        <w:jc w:val="right"/>
        <w:rPr>
          <w:rFonts w:ascii="Times New Roman" w:hAnsi="Times New Roman" w:eastAsia="仿宋" w:cs="Times New Roman"/>
          <w:sz w:val="28"/>
        </w:rPr>
      </w:pPr>
      <w:r>
        <w:rPr>
          <w:rFonts w:ascii="Times New Roman" w:hAnsi="Times New Roman" w:eastAsia="仿宋" w:cs="Times New Roman"/>
          <w:sz w:val="28"/>
        </w:rPr>
        <w:t>______年___月___日</w:t>
      </w:r>
    </w:p>
    <w:p>
      <w:pPr>
        <w:spacing w:line="520" w:lineRule="exact"/>
        <w:ind w:firstLine="562" w:firstLineChars="200"/>
        <w:rPr>
          <w:rFonts w:ascii="Times New Roman" w:hAnsi="Times New Roman" w:eastAsia="仿宋" w:cs="Times New Roman"/>
          <w:b/>
          <w:sz w:val="28"/>
          <w:szCs w:val="28"/>
        </w:rPr>
      </w:pP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二、关于招标要求的应答对照表</w:t>
      </w:r>
    </w:p>
    <w:tbl>
      <w:tblPr>
        <w:tblStyle w:val="16"/>
        <w:tblW w:w="928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245"/>
        <w:gridCol w:w="2967"/>
        <w:gridCol w:w="2967"/>
        <w:gridCol w:w="210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9" w:hRule="atLeast"/>
        </w:trPr>
        <w:tc>
          <w:tcPr>
            <w:tcW w:w="1245" w:type="dxa"/>
          </w:tcPr>
          <w:p>
            <w:pPr>
              <w:spacing w:line="440" w:lineRule="exact"/>
              <w:jc w:val="center"/>
              <w:rPr>
                <w:rFonts w:ascii="Times New Roman" w:hAnsi="Times New Roman" w:eastAsia="仿宋" w:cs="Times New Roman"/>
                <w:b/>
                <w:sz w:val="24"/>
                <w:szCs w:val="28"/>
              </w:rPr>
            </w:pPr>
            <w:r>
              <w:rPr>
                <w:rFonts w:ascii="Times New Roman" w:hAnsi="Times New Roman" w:eastAsia="仿宋" w:cs="Times New Roman"/>
                <w:b/>
                <w:sz w:val="24"/>
                <w:szCs w:val="28"/>
              </w:rPr>
              <w:t>序号</w:t>
            </w:r>
          </w:p>
        </w:tc>
        <w:tc>
          <w:tcPr>
            <w:tcW w:w="2967" w:type="dxa"/>
          </w:tcPr>
          <w:p>
            <w:pPr>
              <w:spacing w:line="440" w:lineRule="exact"/>
              <w:jc w:val="center"/>
              <w:rPr>
                <w:rFonts w:ascii="Times New Roman" w:hAnsi="Times New Roman" w:eastAsia="仿宋" w:cs="Times New Roman"/>
                <w:b/>
                <w:sz w:val="24"/>
                <w:szCs w:val="28"/>
              </w:rPr>
            </w:pPr>
            <w:r>
              <w:rPr>
                <w:rFonts w:ascii="Times New Roman" w:hAnsi="Times New Roman" w:eastAsia="仿宋" w:cs="Times New Roman"/>
                <w:b/>
                <w:sz w:val="24"/>
                <w:szCs w:val="28"/>
              </w:rPr>
              <w:t>招标文件要求</w:t>
            </w:r>
          </w:p>
        </w:tc>
        <w:tc>
          <w:tcPr>
            <w:tcW w:w="2967" w:type="dxa"/>
          </w:tcPr>
          <w:p>
            <w:pPr>
              <w:spacing w:line="440" w:lineRule="exact"/>
              <w:jc w:val="center"/>
              <w:rPr>
                <w:rFonts w:ascii="Times New Roman" w:hAnsi="Times New Roman" w:eastAsia="仿宋" w:cs="Times New Roman"/>
                <w:b/>
                <w:sz w:val="24"/>
                <w:szCs w:val="28"/>
              </w:rPr>
            </w:pPr>
            <w:r>
              <w:rPr>
                <w:rFonts w:ascii="Times New Roman" w:hAnsi="Times New Roman" w:eastAsia="仿宋" w:cs="Times New Roman"/>
                <w:b/>
                <w:sz w:val="24"/>
                <w:szCs w:val="28"/>
              </w:rPr>
              <w:t>投标响应内容</w:t>
            </w:r>
          </w:p>
        </w:tc>
        <w:tc>
          <w:tcPr>
            <w:tcW w:w="2107" w:type="dxa"/>
          </w:tcPr>
          <w:p>
            <w:pPr>
              <w:spacing w:line="440" w:lineRule="exact"/>
              <w:jc w:val="center"/>
              <w:rPr>
                <w:rFonts w:ascii="Times New Roman" w:hAnsi="Times New Roman" w:eastAsia="仿宋" w:cs="Times New Roman"/>
                <w:b/>
                <w:sz w:val="24"/>
                <w:szCs w:val="28"/>
              </w:rPr>
            </w:pPr>
            <w:r>
              <w:rPr>
                <w:rFonts w:ascii="Times New Roman" w:hAnsi="Times New Roman" w:eastAsia="仿宋" w:cs="Times New Roman"/>
                <w:b/>
                <w:sz w:val="24"/>
                <w:szCs w:val="28"/>
              </w:rPr>
              <w:t>响应情况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9" w:hRule="atLeast"/>
        </w:trPr>
        <w:tc>
          <w:tcPr>
            <w:tcW w:w="1245" w:type="dxa"/>
          </w:tcPr>
          <w:p>
            <w:pPr>
              <w:spacing w:line="440" w:lineRule="exact"/>
              <w:jc w:val="center"/>
              <w:rPr>
                <w:rFonts w:ascii="Times New Roman" w:hAnsi="Times New Roman" w:eastAsia="仿宋" w:cs="Times New Roman"/>
                <w:sz w:val="24"/>
                <w:szCs w:val="28"/>
              </w:rPr>
            </w:pPr>
          </w:p>
        </w:tc>
        <w:tc>
          <w:tcPr>
            <w:tcW w:w="2967" w:type="dxa"/>
          </w:tcPr>
          <w:p>
            <w:pPr>
              <w:spacing w:line="440" w:lineRule="exact"/>
              <w:jc w:val="center"/>
              <w:rPr>
                <w:rFonts w:ascii="Times New Roman" w:hAnsi="Times New Roman" w:eastAsia="仿宋" w:cs="Times New Roman"/>
                <w:sz w:val="24"/>
                <w:szCs w:val="28"/>
              </w:rPr>
            </w:pPr>
          </w:p>
        </w:tc>
        <w:tc>
          <w:tcPr>
            <w:tcW w:w="2967" w:type="dxa"/>
          </w:tcPr>
          <w:p>
            <w:pPr>
              <w:spacing w:line="440" w:lineRule="exact"/>
              <w:jc w:val="center"/>
              <w:rPr>
                <w:rFonts w:ascii="Times New Roman" w:hAnsi="Times New Roman" w:eastAsia="仿宋" w:cs="Times New Roman"/>
                <w:sz w:val="24"/>
                <w:szCs w:val="28"/>
              </w:rPr>
            </w:pPr>
          </w:p>
        </w:tc>
        <w:tc>
          <w:tcPr>
            <w:tcW w:w="2107" w:type="dxa"/>
          </w:tcPr>
          <w:p>
            <w:pPr>
              <w:spacing w:line="440" w:lineRule="exact"/>
              <w:jc w:val="center"/>
              <w:rPr>
                <w:rFonts w:ascii="Times New Roman" w:hAnsi="Times New Roman" w:eastAsia="仿宋" w:cs="Times New Roman"/>
                <w:sz w:val="24"/>
                <w:szCs w:val="2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9" w:hRule="atLeast"/>
        </w:trPr>
        <w:tc>
          <w:tcPr>
            <w:tcW w:w="1245" w:type="dxa"/>
          </w:tcPr>
          <w:p>
            <w:pPr>
              <w:spacing w:line="440" w:lineRule="exact"/>
              <w:jc w:val="center"/>
              <w:rPr>
                <w:rFonts w:ascii="Times New Roman" w:hAnsi="Times New Roman" w:eastAsia="仿宋" w:cs="Times New Roman"/>
                <w:sz w:val="24"/>
                <w:szCs w:val="28"/>
              </w:rPr>
            </w:pPr>
          </w:p>
        </w:tc>
        <w:tc>
          <w:tcPr>
            <w:tcW w:w="2967" w:type="dxa"/>
          </w:tcPr>
          <w:p>
            <w:pPr>
              <w:spacing w:line="440" w:lineRule="exact"/>
              <w:jc w:val="center"/>
              <w:rPr>
                <w:rFonts w:ascii="Times New Roman" w:hAnsi="Times New Roman" w:eastAsia="仿宋" w:cs="Times New Roman"/>
                <w:sz w:val="24"/>
                <w:szCs w:val="28"/>
              </w:rPr>
            </w:pPr>
          </w:p>
        </w:tc>
        <w:tc>
          <w:tcPr>
            <w:tcW w:w="2967" w:type="dxa"/>
          </w:tcPr>
          <w:p>
            <w:pPr>
              <w:spacing w:line="440" w:lineRule="exact"/>
              <w:jc w:val="center"/>
              <w:rPr>
                <w:rFonts w:ascii="Times New Roman" w:hAnsi="Times New Roman" w:eastAsia="仿宋" w:cs="Times New Roman"/>
                <w:sz w:val="24"/>
                <w:szCs w:val="28"/>
              </w:rPr>
            </w:pPr>
          </w:p>
        </w:tc>
        <w:tc>
          <w:tcPr>
            <w:tcW w:w="2107" w:type="dxa"/>
          </w:tcPr>
          <w:p>
            <w:pPr>
              <w:spacing w:line="440" w:lineRule="exact"/>
              <w:jc w:val="center"/>
              <w:rPr>
                <w:rFonts w:ascii="Times New Roman" w:hAnsi="Times New Roman" w:eastAsia="仿宋" w:cs="Times New Roman"/>
                <w:sz w:val="24"/>
                <w:szCs w:val="2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9" w:hRule="atLeast"/>
        </w:trPr>
        <w:tc>
          <w:tcPr>
            <w:tcW w:w="1245" w:type="dxa"/>
          </w:tcPr>
          <w:p>
            <w:pPr>
              <w:spacing w:line="440" w:lineRule="exact"/>
              <w:jc w:val="center"/>
              <w:rPr>
                <w:rFonts w:ascii="Times New Roman" w:hAnsi="Times New Roman" w:eastAsia="仿宋" w:cs="Times New Roman"/>
                <w:sz w:val="24"/>
                <w:szCs w:val="28"/>
              </w:rPr>
            </w:pPr>
            <w:r>
              <w:rPr>
                <w:rFonts w:ascii="Times New Roman" w:hAnsi="Times New Roman" w:eastAsia="仿宋" w:cs="Times New Roman"/>
                <w:sz w:val="24"/>
                <w:szCs w:val="28"/>
              </w:rPr>
              <w:t>……</w:t>
            </w:r>
          </w:p>
        </w:tc>
        <w:tc>
          <w:tcPr>
            <w:tcW w:w="2967" w:type="dxa"/>
          </w:tcPr>
          <w:p>
            <w:pPr>
              <w:spacing w:line="440" w:lineRule="exact"/>
              <w:jc w:val="center"/>
              <w:rPr>
                <w:rFonts w:ascii="Times New Roman" w:hAnsi="Times New Roman" w:eastAsia="仿宋" w:cs="Times New Roman"/>
                <w:sz w:val="24"/>
                <w:szCs w:val="28"/>
              </w:rPr>
            </w:pPr>
            <w:r>
              <w:rPr>
                <w:rFonts w:ascii="Times New Roman" w:hAnsi="Times New Roman" w:eastAsia="仿宋" w:cs="Times New Roman"/>
                <w:sz w:val="24"/>
                <w:szCs w:val="28"/>
              </w:rPr>
              <w:t>……</w:t>
            </w:r>
          </w:p>
        </w:tc>
        <w:tc>
          <w:tcPr>
            <w:tcW w:w="2967" w:type="dxa"/>
          </w:tcPr>
          <w:p>
            <w:pPr>
              <w:spacing w:line="440" w:lineRule="exact"/>
              <w:jc w:val="center"/>
              <w:rPr>
                <w:rFonts w:ascii="Times New Roman" w:hAnsi="Times New Roman" w:eastAsia="仿宋" w:cs="Times New Roman"/>
                <w:sz w:val="24"/>
                <w:szCs w:val="28"/>
              </w:rPr>
            </w:pPr>
            <w:r>
              <w:rPr>
                <w:rFonts w:ascii="Times New Roman" w:hAnsi="Times New Roman" w:eastAsia="仿宋" w:cs="Times New Roman"/>
                <w:sz w:val="24"/>
                <w:szCs w:val="28"/>
              </w:rPr>
              <w:t>……</w:t>
            </w:r>
          </w:p>
        </w:tc>
        <w:tc>
          <w:tcPr>
            <w:tcW w:w="2107" w:type="dxa"/>
          </w:tcPr>
          <w:p>
            <w:pPr>
              <w:spacing w:line="440" w:lineRule="exact"/>
              <w:jc w:val="center"/>
              <w:rPr>
                <w:rFonts w:ascii="Times New Roman" w:hAnsi="Times New Roman" w:eastAsia="仿宋" w:cs="Times New Roman"/>
                <w:sz w:val="24"/>
                <w:szCs w:val="28"/>
              </w:rPr>
            </w:pPr>
            <w:r>
              <w:rPr>
                <w:rFonts w:ascii="Times New Roman" w:hAnsi="Times New Roman" w:eastAsia="仿宋" w:cs="Times New Roman"/>
                <w:sz w:val="24"/>
                <w:szCs w:val="28"/>
              </w:rPr>
              <w:t>……</w:t>
            </w:r>
          </w:p>
        </w:tc>
      </w:tr>
    </w:tbl>
    <w:p>
      <w:pPr>
        <w:spacing w:line="520" w:lineRule="exact"/>
        <w:ind w:firstLine="468"/>
        <w:rPr>
          <w:rFonts w:ascii="Times New Roman" w:hAnsi="Times New Roman" w:eastAsia="仿宋" w:cs="Times New Roman"/>
          <w:sz w:val="28"/>
          <w:szCs w:val="28"/>
        </w:rPr>
      </w:pPr>
      <w:r>
        <w:rPr>
          <w:rFonts w:ascii="Times New Roman" w:hAnsi="Times New Roman" w:eastAsia="仿宋" w:cs="Times New Roman"/>
          <w:sz w:val="28"/>
          <w:szCs w:val="28"/>
        </w:rPr>
        <w:t>备注：</w:t>
      </w:r>
    </w:p>
    <w:p>
      <w:pPr>
        <w:spacing w:line="520" w:lineRule="exact"/>
        <w:ind w:firstLine="468"/>
        <w:rPr>
          <w:rFonts w:ascii="Times New Roman" w:hAnsi="Times New Roman" w:eastAsia="仿宋" w:cs="Times New Roman"/>
          <w:sz w:val="28"/>
          <w:szCs w:val="28"/>
        </w:rPr>
      </w:pPr>
      <w:r>
        <w:rPr>
          <w:rFonts w:ascii="Times New Roman" w:hAnsi="Times New Roman" w:eastAsia="仿宋" w:cs="Times New Roman"/>
          <w:sz w:val="28"/>
          <w:szCs w:val="28"/>
        </w:rPr>
        <w:t>投标人需对照招标文件第五章第二条，逐项梳理填写本表。“响应情况”一列，填写“响应”、“部分响应”或“不响应”。</w:t>
      </w:r>
    </w:p>
    <w:p>
      <w:pPr>
        <w:spacing w:line="520" w:lineRule="exact"/>
        <w:ind w:firstLine="468"/>
        <w:rPr>
          <w:rFonts w:ascii="Times New Roman" w:hAnsi="Times New Roman" w:eastAsia="仿宋" w:cs="Times New Roman"/>
          <w:sz w:val="28"/>
          <w:szCs w:val="28"/>
        </w:rPr>
      </w:pPr>
    </w:p>
    <w:p>
      <w:pPr>
        <w:spacing w:line="520" w:lineRule="exact"/>
        <w:ind w:firstLine="3360" w:firstLineChars="1200"/>
        <w:rPr>
          <w:rFonts w:ascii="Times New Roman" w:hAnsi="Times New Roman" w:eastAsia="仿宋" w:cs="Times New Roman"/>
          <w:sz w:val="28"/>
        </w:rPr>
      </w:pPr>
      <w:r>
        <w:rPr>
          <w:rFonts w:ascii="Times New Roman" w:hAnsi="Times New Roman" w:eastAsia="仿宋" w:cs="Times New Roman"/>
          <w:sz w:val="28"/>
        </w:rPr>
        <w:t>投标人：</w:t>
      </w:r>
      <w:r>
        <w:rPr>
          <w:rFonts w:ascii="Times New Roman" w:hAnsi="Times New Roman" w:eastAsia="仿宋" w:cs="Times New Roman"/>
          <w:sz w:val="28"/>
          <w:u w:val="single"/>
        </w:rPr>
        <w:t>（名称和加盖公章）</w:t>
      </w:r>
    </w:p>
    <w:p>
      <w:pPr>
        <w:spacing w:line="520" w:lineRule="exact"/>
        <w:ind w:firstLine="3360" w:firstLineChars="1200"/>
        <w:rPr>
          <w:rFonts w:ascii="Times New Roman" w:hAnsi="Times New Roman" w:eastAsia="仿宋" w:cs="Times New Roman"/>
          <w:sz w:val="28"/>
        </w:rPr>
      </w:pPr>
      <w:r>
        <w:rPr>
          <w:rFonts w:ascii="Times New Roman" w:hAnsi="Times New Roman" w:eastAsia="仿宋" w:cs="Times New Roman"/>
          <w:sz w:val="28"/>
        </w:rPr>
        <w:t>法定代表人或授权代表：</w:t>
      </w:r>
      <w:r>
        <w:rPr>
          <w:rFonts w:ascii="Times New Roman" w:hAnsi="Times New Roman" w:eastAsia="仿宋" w:cs="Times New Roman"/>
          <w:sz w:val="28"/>
          <w:u w:val="single"/>
        </w:rPr>
        <w:t>（签字）</w:t>
      </w:r>
    </w:p>
    <w:p>
      <w:pPr>
        <w:spacing w:line="520" w:lineRule="exact"/>
        <w:ind w:firstLine="3640" w:firstLineChars="1300"/>
        <w:rPr>
          <w:rFonts w:ascii="Times New Roman" w:hAnsi="Times New Roman" w:eastAsia="仿宋" w:cs="Times New Roman"/>
          <w:sz w:val="28"/>
        </w:rPr>
      </w:pPr>
    </w:p>
    <w:p>
      <w:pPr>
        <w:spacing w:line="520" w:lineRule="exact"/>
        <w:jc w:val="right"/>
        <w:rPr>
          <w:rFonts w:ascii="Times New Roman" w:hAnsi="Times New Roman" w:eastAsia="仿宋" w:cs="Times New Roman"/>
          <w:sz w:val="28"/>
        </w:rPr>
      </w:pPr>
      <w:r>
        <w:rPr>
          <w:rFonts w:ascii="Times New Roman" w:hAnsi="Times New Roman" w:eastAsia="仿宋" w:cs="Times New Roman"/>
          <w:sz w:val="28"/>
        </w:rPr>
        <w:t>______年___月___日</w:t>
      </w:r>
    </w:p>
    <w:p>
      <w:pPr>
        <w:spacing w:line="520" w:lineRule="exact"/>
        <w:jc w:val="right"/>
        <w:rPr>
          <w:rFonts w:ascii="Times New Roman" w:hAnsi="Times New Roman" w:eastAsia="仿宋" w:cs="Times New Roman"/>
          <w:sz w:val="28"/>
        </w:rPr>
      </w:pP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三、项目组织实施方案</w:t>
      </w: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__________________</w:t>
      </w: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四、项目人员配备情况</w:t>
      </w:r>
    </w:p>
    <w:tbl>
      <w:tblPr>
        <w:tblStyle w:val="16"/>
        <w:tblW w:w="9286"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17"/>
        <w:gridCol w:w="862"/>
        <w:gridCol w:w="1086"/>
        <w:gridCol w:w="1086"/>
        <w:gridCol w:w="1087"/>
        <w:gridCol w:w="1266"/>
        <w:gridCol w:w="908"/>
        <w:gridCol w:w="1087"/>
        <w:gridCol w:w="108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9" w:hRule="atLeast"/>
          <w:jc w:val="center"/>
        </w:trPr>
        <w:tc>
          <w:tcPr>
            <w:tcW w:w="817" w:type="dxa"/>
            <w:vMerge w:val="restart"/>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类别</w:t>
            </w:r>
          </w:p>
        </w:tc>
        <w:tc>
          <w:tcPr>
            <w:tcW w:w="862" w:type="dxa"/>
            <w:vMerge w:val="restart"/>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职务</w:t>
            </w:r>
          </w:p>
        </w:tc>
        <w:tc>
          <w:tcPr>
            <w:tcW w:w="1086" w:type="dxa"/>
            <w:vMerge w:val="restart"/>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姓名</w:t>
            </w:r>
          </w:p>
        </w:tc>
        <w:tc>
          <w:tcPr>
            <w:tcW w:w="1086" w:type="dxa"/>
            <w:vMerge w:val="restart"/>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职称</w:t>
            </w:r>
          </w:p>
        </w:tc>
        <w:tc>
          <w:tcPr>
            <w:tcW w:w="1087" w:type="dxa"/>
            <w:vMerge w:val="restart"/>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常住地</w:t>
            </w:r>
          </w:p>
        </w:tc>
        <w:tc>
          <w:tcPr>
            <w:tcW w:w="4348" w:type="dxa"/>
            <w:gridSpan w:val="4"/>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人员资质证明（附扫描件）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9" w:hRule="atLeast"/>
          <w:jc w:val="center"/>
        </w:trPr>
        <w:tc>
          <w:tcPr>
            <w:tcW w:w="817" w:type="dxa"/>
            <w:vMerge w:val="continue"/>
            <w:vAlign w:val="center"/>
          </w:tcPr>
          <w:p>
            <w:pPr>
              <w:jc w:val="center"/>
              <w:rPr>
                <w:rFonts w:ascii="Times New Roman" w:hAnsi="Times New Roman" w:eastAsia="仿宋" w:cs="Times New Roman"/>
                <w:b/>
                <w:sz w:val="24"/>
                <w:szCs w:val="24"/>
              </w:rPr>
            </w:pPr>
          </w:p>
        </w:tc>
        <w:tc>
          <w:tcPr>
            <w:tcW w:w="862" w:type="dxa"/>
            <w:vMerge w:val="continue"/>
            <w:vAlign w:val="center"/>
          </w:tcPr>
          <w:p>
            <w:pPr>
              <w:jc w:val="center"/>
              <w:rPr>
                <w:rFonts w:ascii="Times New Roman" w:hAnsi="Times New Roman" w:eastAsia="仿宋" w:cs="Times New Roman"/>
                <w:b/>
                <w:sz w:val="24"/>
                <w:szCs w:val="24"/>
              </w:rPr>
            </w:pPr>
          </w:p>
        </w:tc>
        <w:tc>
          <w:tcPr>
            <w:tcW w:w="1086" w:type="dxa"/>
            <w:vMerge w:val="continue"/>
            <w:vAlign w:val="center"/>
          </w:tcPr>
          <w:p>
            <w:pPr>
              <w:jc w:val="center"/>
              <w:rPr>
                <w:rFonts w:ascii="Times New Roman" w:hAnsi="Times New Roman" w:eastAsia="仿宋" w:cs="Times New Roman"/>
                <w:b/>
                <w:sz w:val="24"/>
                <w:szCs w:val="24"/>
              </w:rPr>
            </w:pPr>
          </w:p>
        </w:tc>
        <w:tc>
          <w:tcPr>
            <w:tcW w:w="1086" w:type="dxa"/>
            <w:vMerge w:val="continue"/>
            <w:vAlign w:val="center"/>
          </w:tcPr>
          <w:p>
            <w:pPr>
              <w:jc w:val="center"/>
              <w:rPr>
                <w:rFonts w:ascii="Times New Roman" w:hAnsi="Times New Roman" w:eastAsia="仿宋" w:cs="Times New Roman"/>
                <w:b/>
                <w:sz w:val="24"/>
                <w:szCs w:val="24"/>
              </w:rPr>
            </w:pPr>
          </w:p>
        </w:tc>
        <w:tc>
          <w:tcPr>
            <w:tcW w:w="1087" w:type="dxa"/>
            <w:vMerge w:val="continue"/>
            <w:vAlign w:val="center"/>
          </w:tcPr>
          <w:p>
            <w:pPr>
              <w:jc w:val="center"/>
              <w:rPr>
                <w:rFonts w:ascii="Times New Roman" w:hAnsi="Times New Roman" w:eastAsia="仿宋" w:cs="Times New Roman"/>
                <w:b/>
                <w:sz w:val="24"/>
                <w:szCs w:val="24"/>
              </w:rPr>
            </w:pPr>
          </w:p>
        </w:tc>
        <w:tc>
          <w:tcPr>
            <w:tcW w:w="1266" w:type="dxa"/>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证书名称</w:t>
            </w:r>
          </w:p>
        </w:tc>
        <w:tc>
          <w:tcPr>
            <w:tcW w:w="908" w:type="dxa"/>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级别</w:t>
            </w:r>
          </w:p>
        </w:tc>
        <w:tc>
          <w:tcPr>
            <w:tcW w:w="1087" w:type="dxa"/>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证号</w:t>
            </w:r>
          </w:p>
        </w:tc>
        <w:tc>
          <w:tcPr>
            <w:tcW w:w="1087" w:type="dxa"/>
            <w:vAlign w:val="center"/>
          </w:tcPr>
          <w:p>
            <w:pPr>
              <w:jc w:val="center"/>
              <w:rPr>
                <w:rFonts w:ascii="Times New Roman" w:hAnsi="Times New Roman" w:eastAsia="仿宋" w:cs="Times New Roman"/>
                <w:b/>
                <w:sz w:val="24"/>
                <w:szCs w:val="24"/>
              </w:rPr>
            </w:pPr>
            <w:r>
              <w:rPr>
                <w:rFonts w:ascii="Times New Roman" w:hAnsi="Times New Roman" w:eastAsia="仿宋" w:cs="Times New Roman"/>
                <w:b/>
                <w:sz w:val="24"/>
                <w:szCs w:val="24"/>
              </w:rPr>
              <w:t>专业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9" w:hRule="atLeast"/>
          <w:jc w:val="center"/>
        </w:trPr>
        <w:tc>
          <w:tcPr>
            <w:tcW w:w="817" w:type="dxa"/>
            <w:vMerge w:val="restart"/>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管理人员</w:t>
            </w:r>
          </w:p>
        </w:tc>
        <w:tc>
          <w:tcPr>
            <w:tcW w:w="862" w:type="dxa"/>
            <w:vAlign w:val="center"/>
          </w:tcPr>
          <w:p>
            <w:pPr>
              <w:jc w:val="center"/>
              <w:rPr>
                <w:rFonts w:ascii="Times New Roman" w:hAnsi="Times New Roman" w:eastAsia="仿宋" w:cs="Times New Roman"/>
                <w:sz w:val="24"/>
                <w:szCs w:val="24"/>
              </w:rPr>
            </w:pPr>
          </w:p>
        </w:tc>
        <w:tc>
          <w:tcPr>
            <w:tcW w:w="1086" w:type="dxa"/>
            <w:vAlign w:val="center"/>
          </w:tcPr>
          <w:p>
            <w:pPr>
              <w:jc w:val="center"/>
              <w:rPr>
                <w:rFonts w:ascii="Times New Roman" w:hAnsi="Times New Roman" w:eastAsia="仿宋" w:cs="Times New Roman"/>
                <w:sz w:val="24"/>
                <w:szCs w:val="24"/>
              </w:rPr>
            </w:pPr>
          </w:p>
        </w:tc>
        <w:tc>
          <w:tcPr>
            <w:tcW w:w="1086" w:type="dxa"/>
            <w:vAlign w:val="center"/>
          </w:tcPr>
          <w:p>
            <w:pPr>
              <w:jc w:val="center"/>
              <w:rPr>
                <w:rFonts w:ascii="Times New Roman" w:hAnsi="Times New Roman" w:eastAsia="仿宋" w:cs="Times New Roman"/>
                <w:sz w:val="24"/>
                <w:szCs w:val="24"/>
              </w:rPr>
            </w:pPr>
          </w:p>
        </w:tc>
        <w:tc>
          <w:tcPr>
            <w:tcW w:w="1087" w:type="dxa"/>
            <w:vAlign w:val="center"/>
          </w:tcPr>
          <w:p>
            <w:pPr>
              <w:jc w:val="center"/>
              <w:rPr>
                <w:rFonts w:ascii="Times New Roman" w:hAnsi="Times New Roman" w:eastAsia="仿宋" w:cs="Times New Roman"/>
                <w:sz w:val="24"/>
                <w:szCs w:val="24"/>
              </w:rPr>
            </w:pPr>
          </w:p>
        </w:tc>
        <w:tc>
          <w:tcPr>
            <w:tcW w:w="1266" w:type="dxa"/>
            <w:vAlign w:val="center"/>
          </w:tcPr>
          <w:p>
            <w:pPr>
              <w:jc w:val="center"/>
              <w:rPr>
                <w:rFonts w:ascii="Times New Roman" w:hAnsi="Times New Roman" w:eastAsia="仿宋" w:cs="Times New Roman"/>
                <w:sz w:val="24"/>
                <w:szCs w:val="24"/>
              </w:rPr>
            </w:pPr>
          </w:p>
        </w:tc>
        <w:tc>
          <w:tcPr>
            <w:tcW w:w="908" w:type="dxa"/>
            <w:vAlign w:val="center"/>
          </w:tcPr>
          <w:p>
            <w:pPr>
              <w:jc w:val="center"/>
              <w:rPr>
                <w:rFonts w:ascii="Times New Roman" w:hAnsi="Times New Roman" w:eastAsia="仿宋" w:cs="Times New Roman"/>
                <w:sz w:val="24"/>
                <w:szCs w:val="24"/>
              </w:rPr>
            </w:pPr>
          </w:p>
        </w:tc>
        <w:tc>
          <w:tcPr>
            <w:tcW w:w="1087" w:type="dxa"/>
            <w:vAlign w:val="center"/>
          </w:tcPr>
          <w:p>
            <w:pPr>
              <w:jc w:val="center"/>
              <w:rPr>
                <w:rFonts w:ascii="Times New Roman" w:hAnsi="Times New Roman" w:eastAsia="仿宋" w:cs="Times New Roman"/>
                <w:sz w:val="24"/>
                <w:szCs w:val="24"/>
              </w:rPr>
            </w:pPr>
          </w:p>
        </w:tc>
        <w:tc>
          <w:tcPr>
            <w:tcW w:w="1087" w:type="dxa"/>
            <w:vAlign w:val="center"/>
          </w:tcPr>
          <w:p>
            <w:pPr>
              <w:jc w:val="center"/>
              <w:rPr>
                <w:rFonts w:ascii="Times New Roman" w:hAnsi="Times New Roman" w:eastAsia="仿宋" w:cs="Times New Roman"/>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9" w:hRule="atLeast"/>
          <w:jc w:val="center"/>
        </w:trPr>
        <w:tc>
          <w:tcPr>
            <w:tcW w:w="817" w:type="dxa"/>
            <w:vMerge w:val="continue"/>
            <w:vAlign w:val="center"/>
          </w:tcPr>
          <w:p>
            <w:pPr>
              <w:jc w:val="center"/>
              <w:rPr>
                <w:rFonts w:ascii="Times New Roman" w:hAnsi="Times New Roman" w:eastAsia="仿宋" w:cs="Times New Roman"/>
                <w:sz w:val="24"/>
                <w:szCs w:val="24"/>
              </w:rPr>
            </w:pPr>
          </w:p>
        </w:tc>
        <w:tc>
          <w:tcPr>
            <w:tcW w:w="862" w:type="dxa"/>
            <w:vAlign w:val="center"/>
          </w:tcPr>
          <w:p>
            <w:pPr>
              <w:jc w:val="center"/>
              <w:rPr>
                <w:rFonts w:ascii="Times New Roman" w:hAnsi="Times New Roman" w:eastAsia="仿宋" w:cs="Times New Roman"/>
                <w:sz w:val="24"/>
                <w:szCs w:val="24"/>
              </w:rPr>
            </w:pPr>
          </w:p>
        </w:tc>
        <w:tc>
          <w:tcPr>
            <w:tcW w:w="1086" w:type="dxa"/>
            <w:vAlign w:val="center"/>
          </w:tcPr>
          <w:p>
            <w:pPr>
              <w:jc w:val="center"/>
              <w:rPr>
                <w:rFonts w:ascii="Times New Roman" w:hAnsi="Times New Roman" w:eastAsia="仿宋" w:cs="Times New Roman"/>
                <w:sz w:val="24"/>
                <w:szCs w:val="24"/>
              </w:rPr>
            </w:pPr>
          </w:p>
        </w:tc>
        <w:tc>
          <w:tcPr>
            <w:tcW w:w="1086" w:type="dxa"/>
            <w:vAlign w:val="center"/>
          </w:tcPr>
          <w:p>
            <w:pPr>
              <w:jc w:val="center"/>
              <w:rPr>
                <w:rFonts w:ascii="Times New Roman" w:hAnsi="Times New Roman" w:eastAsia="仿宋" w:cs="Times New Roman"/>
                <w:sz w:val="24"/>
                <w:szCs w:val="24"/>
              </w:rPr>
            </w:pPr>
          </w:p>
        </w:tc>
        <w:tc>
          <w:tcPr>
            <w:tcW w:w="1087" w:type="dxa"/>
            <w:vAlign w:val="center"/>
          </w:tcPr>
          <w:p>
            <w:pPr>
              <w:jc w:val="center"/>
              <w:rPr>
                <w:rFonts w:ascii="Times New Roman" w:hAnsi="Times New Roman" w:eastAsia="仿宋" w:cs="Times New Roman"/>
                <w:sz w:val="24"/>
                <w:szCs w:val="24"/>
              </w:rPr>
            </w:pPr>
          </w:p>
        </w:tc>
        <w:tc>
          <w:tcPr>
            <w:tcW w:w="1266" w:type="dxa"/>
            <w:vAlign w:val="center"/>
          </w:tcPr>
          <w:p>
            <w:pPr>
              <w:jc w:val="center"/>
              <w:rPr>
                <w:rFonts w:ascii="Times New Roman" w:hAnsi="Times New Roman" w:eastAsia="仿宋" w:cs="Times New Roman"/>
                <w:sz w:val="24"/>
                <w:szCs w:val="24"/>
              </w:rPr>
            </w:pPr>
          </w:p>
        </w:tc>
        <w:tc>
          <w:tcPr>
            <w:tcW w:w="908" w:type="dxa"/>
            <w:vAlign w:val="center"/>
          </w:tcPr>
          <w:p>
            <w:pPr>
              <w:jc w:val="center"/>
              <w:rPr>
                <w:rFonts w:ascii="Times New Roman" w:hAnsi="Times New Roman" w:eastAsia="仿宋" w:cs="Times New Roman"/>
                <w:sz w:val="24"/>
                <w:szCs w:val="24"/>
              </w:rPr>
            </w:pPr>
          </w:p>
        </w:tc>
        <w:tc>
          <w:tcPr>
            <w:tcW w:w="1087" w:type="dxa"/>
            <w:vAlign w:val="center"/>
          </w:tcPr>
          <w:p>
            <w:pPr>
              <w:jc w:val="center"/>
              <w:rPr>
                <w:rFonts w:ascii="Times New Roman" w:hAnsi="Times New Roman" w:eastAsia="仿宋" w:cs="Times New Roman"/>
                <w:sz w:val="24"/>
                <w:szCs w:val="24"/>
              </w:rPr>
            </w:pPr>
          </w:p>
        </w:tc>
        <w:tc>
          <w:tcPr>
            <w:tcW w:w="1087" w:type="dxa"/>
            <w:vAlign w:val="center"/>
          </w:tcPr>
          <w:p>
            <w:pPr>
              <w:jc w:val="center"/>
              <w:rPr>
                <w:rFonts w:ascii="Times New Roman" w:hAnsi="Times New Roman" w:eastAsia="仿宋" w:cs="Times New Roman"/>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9" w:hRule="atLeast"/>
          <w:jc w:val="center"/>
        </w:trPr>
        <w:tc>
          <w:tcPr>
            <w:tcW w:w="817" w:type="dxa"/>
            <w:vMerge w:val="continue"/>
            <w:vAlign w:val="center"/>
          </w:tcPr>
          <w:p>
            <w:pPr>
              <w:jc w:val="center"/>
              <w:rPr>
                <w:rFonts w:ascii="Times New Roman" w:hAnsi="Times New Roman" w:eastAsia="仿宋" w:cs="Times New Roman"/>
                <w:sz w:val="24"/>
                <w:szCs w:val="24"/>
              </w:rPr>
            </w:pPr>
          </w:p>
        </w:tc>
        <w:tc>
          <w:tcPr>
            <w:tcW w:w="862"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1086"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1086"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1087"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1266"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908"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1087"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1087"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9" w:hRule="atLeast"/>
          <w:jc w:val="center"/>
        </w:trPr>
        <w:tc>
          <w:tcPr>
            <w:tcW w:w="817" w:type="dxa"/>
            <w:vMerge w:val="restart"/>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技术人员</w:t>
            </w:r>
          </w:p>
        </w:tc>
        <w:tc>
          <w:tcPr>
            <w:tcW w:w="862" w:type="dxa"/>
            <w:vAlign w:val="center"/>
          </w:tcPr>
          <w:p>
            <w:pPr>
              <w:jc w:val="center"/>
              <w:rPr>
                <w:rFonts w:ascii="Times New Roman" w:hAnsi="Times New Roman" w:eastAsia="仿宋" w:cs="Times New Roman"/>
                <w:sz w:val="24"/>
                <w:szCs w:val="24"/>
              </w:rPr>
            </w:pPr>
          </w:p>
        </w:tc>
        <w:tc>
          <w:tcPr>
            <w:tcW w:w="1086" w:type="dxa"/>
            <w:vAlign w:val="center"/>
          </w:tcPr>
          <w:p>
            <w:pPr>
              <w:jc w:val="center"/>
              <w:rPr>
                <w:rFonts w:ascii="Times New Roman" w:hAnsi="Times New Roman" w:eastAsia="仿宋" w:cs="Times New Roman"/>
                <w:sz w:val="24"/>
                <w:szCs w:val="24"/>
              </w:rPr>
            </w:pPr>
          </w:p>
        </w:tc>
        <w:tc>
          <w:tcPr>
            <w:tcW w:w="1086" w:type="dxa"/>
            <w:vAlign w:val="center"/>
          </w:tcPr>
          <w:p>
            <w:pPr>
              <w:jc w:val="center"/>
              <w:rPr>
                <w:rFonts w:ascii="Times New Roman" w:hAnsi="Times New Roman" w:eastAsia="仿宋" w:cs="Times New Roman"/>
                <w:sz w:val="24"/>
                <w:szCs w:val="24"/>
              </w:rPr>
            </w:pPr>
          </w:p>
        </w:tc>
        <w:tc>
          <w:tcPr>
            <w:tcW w:w="1087" w:type="dxa"/>
            <w:vAlign w:val="center"/>
          </w:tcPr>
          <w:p>
            <w:pPr>
              <w:jc w:val="center"/>
              <w:rPr>
                <w:rFonts w:ascii="Times New Roman" w:hAnsi="Times New Roman" w:eastAsia="仿宋" w:cs="Times New Roman"/>
                <w:sz w:val="24"/>
                <w:szCs w:val="24"/>
              </w:rPr>
            </w:pPr>
          </w:p>
        </w:tc>
        <w:tc>
          <w:tcPr>
            <w:tcW w:w="1266" w:type="dxa"/>
            <w:vAlign w:val="center"/>
          </w:tcPr>
          <w:p>
            <w:pPr>
              <w:jc w:val="center"/>
              <w:rPr>
                <w:rFonts w:ascii="Times New Roman" w:hAnsi="Times New Roman" w:eastAsia="仿宋" w:cs="Times New Roman"/>
                <w:sz w:val="24"/>
                <w:szCs w:val="24"/>
              </w:rPr>
            </w:pPr>
          </w:p>
        </w:tc>
        <w:tc>
          <w:tcPr>
            <w:tcW w:w="908" w:type="dxa"/>
            <w:vAlign w:val="center"/>
          </w:tcPr>
          <w:p>
            <w:pPr>
              <w:jc w:val="center"/>
              <w:rPr>
                <w:rFonts w:ascii="Times New Roman" w:hAnsi="Times New Roman" w:eastAsia="仿宋" w:cs="Times New Roman"/>
                <w:sz w:val="24"/>
                <w:szCs w:val="24"/>
              </w:rPr>
            </w:pPr>
          </w:p>
        </w:tc>
        <w:tc>
          <w:tcPr>
            <w:tcW w:w="1087" w:type="dxa"/>
            <w:vAlign w:val="center"/>
          </w:tcPr>
          <w:p>
            <w:pPr>
              <w:jc w:val="center"/>
              <w:rPr>
                <w:rFonts w:ascii="Times New Roman" w:hAnsi="Times New Roman" w:eastAsia="仿宋" w:cs="Times New Roman"/>
                <w:sz w:val="24"/>
                <w:szCs w:val="24"/>
              </w:rPr>
            </w:pPr>
          </w:p>
        </w:tc>
        <w:tc>
          <w:tcPr>
            <w:tcW w:w="1087" w:type="dxa"/>
            <w:vAlign w:val="center"/>
          </w:tcPr>
          <w:p>
            <w:pPr>
              <w:jc w:val="center"/>
              <w:rPr>
                <w:rFonts w:ascii="Times New Roman" w:hAnsi="Times New Roman" w:eastAsia="仿宋" w:cs="Times New Roman"/>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9" w:hRule="atLeast"/>
          <w:jc w:val="center"/>
        </w:trPr>
        <w:tc>
          <w:tcPr>
            <w:tcW w:w="817" w:type="dxa"/>
            <w:vMerge w:val="continue"/>
            <w:vAlign w:val="center"/>
          </w:tcPr>
          <w:p>
            <w:pPr>
              <w:jc w:val="center"/>
              <w:rPr>
                <w:rFonts w:ascii="Times New Roman" w:hAnsi="Times New Roman" w:eastAsia="仿宋" w:cs="Times New Roman"/>
                <w:sz w:val="24"/>
                <w:szCs w:val="24"/>
              </w:rPr>
            </w:pPr>
          </w:p>
        </w:tc>
        <w:tc>
          <w:tcPr>
            <w:tcW w:w="862" w:type="dxa"/>
            <w:vAlign w:val="center"/>
          </w:tcPr>
          <w:p>
            <w:pPr>
              <w:jc w:val="center"/>
              <w:rPr>
                <w:rFonts w:ascii="Times New Roman" w:hAnsi="Times New Roman" w:eastAsia="仿宋" w:cs="Times New Roman"/>
                <w:sz w:val="24"/>
                <w:szCs w:val="24"/>
              </w:rPr>
            </w:pPr>
          </w:p>
        </w:tc>
        <w:tc>
          <w:tcPr>
            <w:tcW w:w="1086" w:type="dxa"/>
            <w:vAlign w:val="center"/>
          </w:tcPr>
          <w:p>
            <w:pPr>
              <w:jc w:val="center"/>
              <w:rPr>
                <w:rFonts w:ascii="Times New Roman" w:hAnsi="Times New Roman" w:eastAsia="仿宋" w:cs="Times New Roman"/>
                <w:sz w:val="24"/>
                <w:szCs w:val="24"/>
              </w:rPr>
            </w:pPr>
          </w:p>
        </w:tc>
        <w:tc>
          <w:tcPr>
            <w:tcW w:w="1086" w:type="dxa"/>
            <w:vAlign w:val="center"/>
          </w:tcPr>
          <w:p>
            <w:pPr>
              <w:jc w:val="center"/>
              <w:rPr>
                <w:rFonts w:ascii="Times New Roman" w:hAnsi="Times New Roman" w:eastAsia="仿宋" w:cs="Times New Roman"/>
                <w:sz w:val="24"/>
                <w:szCs w:val="24"/>
              </w:rPr>
            </w:pPr>
          </w:p>
        </w:tc>
        <w:tc>
          <w:tcPr>
            <w:tcW w:w="1087" w:type="dxa"/>
            <w:vAlign w:val="center"/>
          </w:tcPr>
          <w:p>
            <w:pPr>
              <w:jc w:val="center"/>
              <w:rPr>
                <w:rFonts w:ascii="Times New Roman" w:hAnsi="Times New Roman" w:eastAsia="仿宋" w:cs="Times New Roman"/>
                <w:sz w:val="24"/>
                <w:szCs w:val="24"/>
              </w:rPr>
            </w:pPr>
          </w:p>
        </w:tc>
        <w:tc>
          <w:tcPr>
            <w:tcW w:w="1266" w:type="dxa"/>
            <w:vAlign w:val="center"/>
          </w:tcPr>
          <w:p>
            <w:pPr>
              <w:jc w:val="center"/>
              <w:rPr>
                <w:rFonts w:ascii="Times New Roman" w:hAnsi="Times New Roman" w:eastAsia="仿宋" w:cs="Times New Roman"/>
                <w:sz w:val="24"/>
                <w:szCs w:val="24"/>
              </w:rPr>
            </w:pPr>
          </w:p>
        </w:tc>
        <w:tc>
          <w:tcPr>
            <w:tcW w:w="908" w:type="dxa"/>
            <w:vAlign w:val="center"/>
          </w:tcPr>
          <w:p>
            <w:pPr>
              <w:jc w:val="center"/>
              <w:rPr>
                <w:rFonts w:ascii="Times New Roman" w:hAnsi="Times New Roman" w:eastAsia="仿宋" w:cs="Times New Roman"/>
                <w:sz w:val="24"/>
                <w:szCs w:val="24"/>
              </w:rPr>
            </w:pPr>
          </w:p>
        </w:tc>
        <w:tc>
          <w:tcPr>
            <w:tcW w:w="1087" w:type="dxa"/>
            <w:vAlign w:val="center"/>
          </w:tcPr>
          <w:p>
            <w:pPr>
              <w:jc w:val="center"/>
              <w:rPr>
                <w:rFonts w:ascii="Times New Roman" w:hAnsi="Times New Roman" w:eastAsia="仿宋" w:cs="Times New Roman"/>
                <w:sz w:val="24"/>
                <w:szCs w:val="24"/>
              </w:rPr>
            </w:pPr>
          </w:p>
        </w:tc>
        <w:tc>
          <w:tcPr>
            <w:tcW w:w="1087" w:type="dxa"/>
            <w:vAlign w:val="center"/>
          </w:tcPr>
          <w:p>
            <w:pPr>
              <w:jc w:val="center"/>
              <w:rPr>
                <w:rFonts w:ascii="Times New Roman" w:hAnsi="Times New Roman" w:eastAsia="仿宋" w:cs="Times New Roman"/>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9" w:hRule="atLeast"/>
          <w:jc w:val="center"/>
        </w:trPr>
        <w:tc>
          <w:tcPr>
            <w:tcW w:w="817" w:type="dxa"/>
            <w:vMerge w:val="continue"/>
            <w:vAlign w:val="center"/>
          </w:tcPr>
          <w:p>
            <w:pPr>
              <w:jc w:val="center"/>
              <w:rPr>
                <w:rFonts w:ascii="Times New Roman" w:hAnsi="Times New Roman" w:eastAsia="仿宋" w:cs="Times New Roman"/>
                <w:sz w:val="24"/>
                <w:szCs w:val="24"/>
              </w:rPr>
            </w:pPr>
          </w:p>
        </w:tc>
        <w:tc>
          <w:tcPr>
            <w:tcW w:w="862"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1086"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1086"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1087"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1266"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908"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1087"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1087"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9" w:hRule="atLeast"/>
          <w:jc w:val="center"/>
        </w:trPr>
        <w:tc>
          <w:tcPr>
            <w:tcW w:w="817"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862"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1086"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1086"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1087"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1266"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908"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1087"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1087"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r>
    </w:tbl>
    <w:p>
      <w:pPr>
        <w:spacing w:line="520" w:lineRule="exact"/>
        <w:ind w:firstLine="468"/>
        <w:rPr>
          <w:rFonts w:ascii="Times New Roman" w:hAnsi="Times New Roman" w:eastAsia="仿宋" w:cs="Times New Roman"/>
          <w:sz w:val="28"/>
          <w:szCs w:val="28"/>
        </w:rPr>
      </w:pPr>
      <w:r>
        <w:rPr>
          <w:rFonts w:ascii="Times New Roman" w:hAnsi="Times New Roman" w:eastAsia="仿宋" w:cs="Times New Roman"/>
          <w:b/>
          <w:sz w:val="28"/>
          <w:szCs w:val="28"/>
        </w:rPr>
        <w:t>备注：</w:t>
      </w:r>
      <w:r>
        <w:rPr>
          <w:rFonts w:ascii="Times New Roman" w:hAnsi="Times New Roman" w:eastAsia="仿宋" w:cs="Times New Roman"/>
          <w:sz w:val="28"/>
          <w:szCs w:val="28"/>
        </w:rPr>
        <w:t>1.投标人据实填写。无法填写的地方可以不填写。</w:t>
      </w:r>
    </w:p>
    <w:p>
      <w:pPr>
        <w:spacing w:line="520" w:lineRule="exact"/>
        <w:ind w:firstLine="468"/>
        <w:rPr>
          <w:rFonts w:ascii="Times New Roman" w:hAnsi="Times New Roman" w:eastAsia="仿宋" w:cs="Times New Roman"/>
          <w:sz w:val="28"/>
          <w:szCs w:val="28"/>
        </w:rPr>
      </w:pPr>
      <w:r>
        <w:rPr>
          <w:rFonts w:ascii="Times New Roman" w:hAnsi="Times New Roman" w:eastAsia="仿宋" w:cs="Times New Roman"/>
          <w:sz w:val="28"/>
          <w:szCs w:val="28"/>
        </w:rPr>
        <w:t xml:space="preserve">      2.“类别”一列，投标人可根据需要进行调整。</w:t>
      </w:r>
    </w:p>
    <w:p>
      <w:pPr>
        <w:spacing w:line="520" w:lineRule="exact"/>
        <w:ind w:firstLine="560" w:firstLineChars="200"/>
        <w:rPr>
          <w:rFonts w:ascii="Times New Roman" w:hAnsi="Times New Roman" w:eastAsia="仿宋" w:cs="Times New Roman"/>
          <w:sz w:val="28"/>
          <w:szCs w:val="28"/>
        </w:rPr>
      </w:pP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人员资质证明材料：</w:t>
      </w:r>
    </w:p>
    <w:p>
      <w:pPr>
        <w:spacing w:line="520" w:lineRule="exact"/>
        <w:ind w:firstLine="560" w:firstLineChars="200"/>
        <w:rPr>
          <w:rFonts w:ascii="Times New Roman" w:hAnsi="Times New Roman" w:eastAsia="仿宋" w:cs="Times New Roman"/>
          <w:sz w:val="28"/>
          <w:szCs w:val="28"/>
        </w:rPr>
      </w:pPr>
    </w:p>
    <w:p>
      <w:pPr>
        <w:spacing w:line="520" w:lineRule="exact"/>
        <w:ind w:firstLine="560" w:firstLineChars="200"/>
        <w:rPr>
          <w:rFonts w:ascii="Times New Roman" w:hAnsi="Times New Roman" w:eastAsia="仿宋" w:cs="Times New Roman"/>
          <w:sz w:val="28"/>
          <w:szCs w:val="28"/>
        </w:rPr>
      </w:pPr>
    </w:p>
    <w:p>
      <w:pPr>
        <w:spacing w:line="520" w:lineRule="exact"/>
        <w:ind w:firstLine="3360" w:firstLineChars="1200"/>
        <w:rPr>
          <w:rFonts w:ascii="Times New Roman" w:hAnsi="Times New Roman" w:eastAsia="仿宋" w:cs="Times New Roman"/>
          <w:sz w:val="28"/>
        </w:rPr>
      </w:pPr>
      <w:r>
        <w:rPr>
          <w:rFonts w:ascii="Times New Roman" w:hAnsi="Times New Roman" w:eastAsia="仿宋" w:cs="Times New Roman"/>
          <w:sz w:val="28"/>
        </w:rPr>
        <w:t>投标人：</w:t>
      </w:r>
      <w:r>
        <w:rPr>
          <w:rFonts w:ascii="Times New Roman" w:hAnsi="Times New Roman" w:eastAsia="仿宋" w:cs="Times New Roman"/>
          <w:sz w:val="28"/>
          <w:u w:val="single"/>
        </w:rPr>
        <w:t>（名称和加盖公章）</w:t>
      </w:r>
    </w:p>
    <w:p>
      <w:pPr>
        <w:spacing w:line="520" w:lineRule="exact"/>
        <w:ind w:firstLine="3360" w:firstLineChars="1200"/>
        <w:rPr>
          <w:rFonts w:ascii="Times New Roman" w:hAnsi="Times New Roman" w:eastAsia="仿宋" w:cs="Times New Roman"/>
          <w:sz w:val="28"/>
        </w:rPr>
      </w:pPr>
      <w:r>
        <w:rPr>
          <w:rFonts w:ascii="Times New Roman" w:hAnsi="Times New Roman" w:eastAsia="仿宋" w:cs="Times New Roman"/>
          <w:sz w:val="28"/>
        </w:rPr>
        <w:t>供应商代表：</w:t>
      </w:r>
      <w:r>
        <w:rPr>
          <w:rFonts w:ascii="Times New Roman" w:hAnsi="Times New Roman" w:eastAsia="仿宋" w:cs="Times New Roman"/>
          <w:sz w:val="28"/>
          <w:u w:val="single"/>
        </w:rPr>
        <w:t>（签字）</w:t>
      </w:r>
    </w:p>
    <w:p>
      <w:pPr>
        <w:spacing w:line="520" w:lineRule="exact"/>
        <w:ind w:firstLine="3640" w:firstLineChars="1300"/>
        <w:rPr>
          <w:rFonts w:ascii="Times New Roman" w:hAnsi="Times New Roman" w:eastAsia="仿宋" w:cs="Times New Roman"/>
          <w:sz w:val="28"/>
        </w:rPr>
      </w:pPr>
    </w:p>
    <w:p>
      <w:pPr>
        <w:spacing w:line="520" w:lineRule="exact"/>
        <w:jc w:val="right"/>
        <w:rPr>
          <w:rFonts w:ascii="Times New Roman" w:hAnsi="Times New Roman" w:eastAsia="仿宋" w:cs="Times New Roman"/>
          <w:sz w:val="28"/>
        </w:rPr>
      </w:pPr>
      <w:r>
        <w:rPr>
          <w:rFonts w:ascii="Times New Roman" w:hAnsi="Times New Roman" w:eastAsia="仿宋" w:cs="Times New Roman"/>
          <w:sz w:val="28"/>
        </w:rPr>
        <w:t>______年___月___日</w:t>
      </w:r>
    </w:p>
    <w:p>
      <w:pPr>
        <w:spacing w:line="520" w:lineRule="exact"/>
        <w:ind w:firstLine="560" w:firstLineChars="200"/>
        <w:rPr>
          <w:rFonts w:ascii="Times New Roman" w:hAnsi="Times New Roman" w:eastAsia="仿宋" w:cs="Times New Roman"/>
          <w:sz w:val="28"/>
          <w:szCs w:val="28"/>
        </w:rPr>
      </w:pP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五、产品彩页资料和产品工作环境条件说明</w:t>
      </w: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__________________</w:t>
      </w: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六、售后服务</w:t>
      </w: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（一）售后服务方案</w:t>
      </w: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__________________</w:t>
      </w: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（二）售后服务人员配备</w:t>
      </w:r>
    </w:p>
    <w:tbl>
      <w:tblPr>
        <w:tblStyle w:val="16"/>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1055"/>
        <w:gridCol w:w="1055"/>
        <w:gridCol w:w="4336"/>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55" w:type="dxa"/>
            <w:shd w:val="clear" w:color="auto" w:fill="auto"/>
            <w:noWrap/>
            <w:vAlign w:val="center"/>
          </w:tcPr>
          <w:p>
            <w:pPr>
              <w:widowControl/>
              <w:jc w:val="center"/>
              <w:rPr>
                <w:rFonts w:ascii="Times New Roman" w:hAnsi="Times New Roman" w:eastAsia="仿宋" w:cs="Times New Roman"/>
                <w:b/>
                <w:sz w:val="24"/>
                <w:szCs w:val="24"/>
              </w:rPr>
            </w:pPr>
            <w:r>
              <w:rPr>
                <w:rFonts w:ascii="Times New Roman" w:hAnsi="Times New Roman" w:eastAsia="仿宋" w:cs="Times New Roman"/>
                <w:b/>
                <w:sz w:val="24"/>
                <w:szCs w:val="24"/>
              </w:rPr>
              <w:t>序号</w:t>
            </w:r>
          </w:p>
        </w:tc>
        <w:tc>
          <w:tcPr>
            <w:tcW w:w="1055" w:type="dxa"/>
            <w:shd w:val="clear" w:color="auto" w:fill="auto"/>
            <w:noWrap/>
            <w:vAlign w:val="center"/>
          </w:tcPr>
          <w:p>
            <w:pPr>
              <w:widowControl/>
              <w:jc w:val="center"/>
              <w:rPr>
                <w:rFonts w:ascii="Times New Roman" w:hAnsi="Times New Roman" w:eastAsia="仿宋" w:cs="Times New Roman"/>
                <w:b/>
                <w:sz w:val="24"/>
                <w:szCs w:val="24"/>
              </w:rPr>
            </w:pPr>
            <w:r>
              <w:rPr>
                <w:rFonts w:ascii="Times New Roman" w:hAnsi="Times New Roman" w:eastAsia="仿宋" w:cs="Times New Roman"/>
                <w:b/>
                <w:sz w:val="24"/>
                <w:szCs w:val="24"/>
              </w:rPr>
              <w:t>姓名</w:t>
            </w:r>
          </w:p>
        </w:tc>
        <w:tc>
          <w:tcPr>
            <w:tcW w:w="1055" w:type="dxa"/>
            <w:shd w:val="clear" w:color="auto" w:fill="auto"/>
            <w:noWrap/>
            <w:vAlign w:val="center"/>
          </w:tcPr>
          <w:p>
            <w:pPr>
              <w:widowControl/>
              <w:jc w:val="center"/>
              <w:rPr>
                <w:rFonts w:ascii="Times New Roman" w:hAnsi="Times New Roman" w:eastAsia="仿宋" w:cs="Times New Roman"/>
                <w:b/>
                <w:sz w:val="24"/>
                <w:szCs w:val="24"/>
              </w:rPr>
            </w:pPr>
            <w:r>
              <w:rPr>
                <w:rFonts w:ascii="Times New Roman" w:hAnsi="Times New Roman" w:eastAsia="仿宋" w:cs="Times New Roman"/>
                <w:b/>
                <w:sz w:val="24"/>
                <w:szCs w:val="24"/>
              </w:rPr>
              <w:t>职务</w:t>
            </w:r>
          </w:p>
        </w:tc>
        <w:tc>
          <w:tcPr>
            <w:tcW w:w="4336" w:type="dxa"/>
            <w:shd w:val="clear" w:color="auto" w:fill="auto"/>
            <w:noWrap/>
            <w:vAlign w:val="center"/>
          </w:tcPr>
          <w:p>
            <w:pPr>
              <w:widowControl/>
              <w:jc w:val="center"/>
              <w:rPr>
                <w:rFonts w:ascii="Times New Roman" w:hAnsi="Times New Roman" w:eastAsia="仿宋" w:cs="Times New Roman"/>
                <w:b/>
                <w:sz w:val="24"/>
                <w:szCs w:val="24"/>
              </w:rPr>
            </w:pPr>
            <w:r>
              <w:rPr>
                <w:rFonts w:ascii="Times New Roman" w:hAnsi="Times New Roman" w:eastAsia="仿宋" w:cs="Times New Roman"/>
                <w:b/>
                <w:sz w:val="24"/>
                <w:szCs w:val="24"/>
              </w:rPr>
              <w:t>本项目售后服务工作职责</w:t>
            </w:r>
          </w:p>
        </w:tc>
        <w:tc>
          <w:tcPr>
            <w:tcW w:w="1785" w:type="dxa"/>
            <w:shd w:val="clear" w:color="auto" w:fill="auto"/>
            <w:noWrap/>
            <w:vAlign w:val="center"/>
          </w:tcPr>
          <w:p>
            <w:pPr>
              <w:widowControl/>
              <w:jc w:val="center"/>
              <w:rPr>
                <w:rFonts w:ascii="Times New Roman" w:hAnsi="Times New Roman" w:eastAsia="仿宋" w:cs="Times New Roman"/>
                <w:b/>
                <w:sz w:val="24"/>
                <w:szCs w:val="24"/>
              </w:rPr>
            </w:pPr>
            <w:r>
              <w:rPr>
                <w:rFonts w:ascii="Times New Roman" w:hAnsi="Times New Roman" w:eastAsia="仿宋" w:cs="Times New Roman"/>
                <w:b/>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55" w:type="dxa"/>
            <w:shd w:val="clear" w:color="auto" w:fill="auto"/>
            <w:noWrap/>
            <w:vAlign w:val="center"/>
          </w:tcPr>
          <w:p>
            <w:pPr>
              <w:widowControl/>
              <w:jc w:val="center"/>
              <w:rPr>
                <w:rFonts w:ascii="Times New Roman" w:hAnsi="Times New Roman" w:eastAsia="仿宋" w:cs="Times New Roman"/>
                <w:sz w:val="24"/>
                <w:szCs w:val="24"/>
              </w:rPr>
            </w:pPr>
          </w:p>
        </w:tc>
        <w:tc>
          <w:tcPr>
            <w:tcW w:w="1055" w:type="dxa"/>
            <w:shd w:val="clear" w:color="auto" w:fill="auto"/>
            <w:noWrap/>
            <w:vAlign w:val="center"/>
          </w:tcPr>
          <w:p>
            <w:pPr>
              <w:widowControl/>
              <w:jc w:val="center"/>
              <w:rPr>
                <w:rFonts w:ascii="Times New Roman" w:hAnsi="Times New Roman" w:eastAsia="仿宋" w:cs="Times New Roman"/>
                <w:sz w:val="24"/>
                <w:szCs w:val="24"/>
              </w:rPr>
            </w:pPr>
          </w:p>
        </w:tc>
        <w:tc>
          <w:tcPr>
            <w:tcW w:w="1055" w:type="dxa"/>
            <w:shd w:val="clear" w:color="auto" w:fill="auto"/>
            <w:noWrap/>
            <w:vAlign w:val="center"/>
          </w:tcPr>
          <w:p>
            <w:pPr>
              <w:widowControl/>
              <w:jc w:val="center"/>
              <w:rPr>
                <w:rFonts w:ascii="Times New Roman" w:hAnsi="Times New Roman" w:eastAsia="仿宋" w:cs="Times New Roman"/>
                <w:sz w:val="24"/>
                <w:szCs w:val="24"/>
              </w:rPr>
            </w:pPr>
          </w:p>
        </w:tc>
        <w:tc>
          <w:tcPr>
            <w:tcW w:w="4336" w:type="dxa"/>
            <w:shd w:val="clear" w:color="auto" w:fill="auto"/>
            <w:noWrap/>
            <w:vAlign w:val="center"/>
          </w:tcPr>
          <w:p>
            <w:pPr>
              <w:widowControl/>
              <w:jc w:val="center"/>
              <w:rPr>
                <w:rFonts w:ascii="Times New Roman" w:hAnsi="Times New Roman" w:eastAsia="仿宋" w:cs="Times New Roman"/>
                <w:sz w:val="24"/>
                <w:szCs w:val="24"/>
              </w:rPr>
            </w:pPr>
          </w:p>
        </w:tc>
        <w:tc>
          <w:tcPr>
            <w:tcW w:w="1785" w:type="dxa"/>
            <w:shd w:val="clear" w:color="auto" w:fill="auto"/>
            <w:noWrap/>
            <w:vAlign w:val="center"/>
          </w:tcPr>
          <w:p>
            <w:pPr>
              <w:widowControl/>
              <w:jc w:val="center"/>
              <w:rPr>
                <w:rFonts w:ascii="Times New Roman" w:hAnsi="Times New Roman"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55" w:type="dxa"/>
            <w:shd w:val="clear" w:color="auto" w:fill="auto"/>
            <w:noWrap/>
            <w:vAlign w:val="center"/>
          </w:tcPr>
          <w:p>
            <w:pPr>
              <w:widowControl/>
              <w:jc w:val="center"/>
              <w:rPr>
                <w:rFonts w:ascii="Times New Roman" w:hAnsi="Times New Roman" w:eastAsia="仿宋" w:cs="Times New Roman"/>
                <w:sz w:val="24"/>
                <w:szCs w:val="24"/>
              </w:rPr>
            </w:pPr>
          </w:p>
        </w:tc>
        <w:tc>
          <w:tcPr>
            <w:tcW w:w="1055" w:type="dxa"/>
            <w:shd w:val="clear" w:color="auto" w:fill="auto"/>
            <w:noWrap/>
            <w:vAlign w:val="center"/>
          </w:tcPr>
          <w:p>
            <w:pPr>
              <w:widowControl/>
              <w:jc w:val="center"/>
              <w:rPr>
                <w:rFonts w:ascii="Times New Roman" w:hAnsi="Times New Roman" w:eastAsia="仿宋" w:cs="Times New Roman"/>
                <w:sz w:val="24"/>
                <w:szCs w:val="24"/>
              </w:rPr>
            </w:pPr>
          </w:p>
        </w:tc>
        <w:tc>
          <w:tcPr>
            <w:tcW w:w="1055" w:type="dxa"/>
            <w:shd w:val="clear" w:color="auto" w:fill="auto"/>
            <w:noWrap/>
            <w:vAlign w:val="center"/>
          </w:tcPr>
          <w:p>
            <w:pPr>
              <w:widowControl/>
              <w:jc w:val="center"/>
              <w:rPr>
                <w:rFonts w:ascii="Times New Roman" w:hAnsi="Times New Roman" w:eastAsia="仿宋" w:cs="Times New Roman"/>
                <w:sz w:val="24"/>
                <w:szCs w:val="24"/>
              </w:rPr>
            </w:pPr>
          </w:p>
        </w:tc>
        <w:tc>
          <w:tcPr>
            <w:tcW w:w="4336" w:type="dxa"/>
            <w:shd w:val="clear" w:color="auto" w:fill="auto"/>
            <w:noWrap/>
            <w:vAlign w:val="center"/>
          </w:tcPr>
          <w:p>
            <w:pPr>
              <w:widowControl/>
              <w:jc w:val="center"/>
              <w:rPr>
                <w:rFonts w:ascii="Times New Roman" w:hAnsi="Times New Roman" w:eastAsia="仿宋" w:cs="Times New Roman"/>
                <w:sz w:val="24"/>
                <w:szCs w:val="24"/>
              </w:rPr>
            </w:pPr>
          </w:p>
        </w:tc>
        <w:tc>
          <w:tcPr>
            <w:tcW w:w="1785" w:type="dxa"/>
            <w:shd w:val="clear" w:color="auto" w:fill="auto"/>
            <w:noWrap/>
            <w:vAlign w:val="center"/>
          </w:tcPr>
          <w:p>
            <w:pPr>
              <w:widowControl/>
              <w:jc w:val="center"/>
              <w:rPr>
                <w:rFonts w:ascii="Times New Roman" w:hAnsi="Times New Roman"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55" w:type="dxa"/>
            <w:shd w:val="clear" w:color="auto" w:fill="auto"/>
            <w:noWrap/>
            <w:vAlign w:val="center"/>
          </w:tcPr>
          <w:p>
            <w:pPr>
              <w:widowControl/>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1055" w:type="dxa"/>
            <w:shd w:val="clear" w:color="auto" w:fill="auto"/>
            <w:noWrap/>
            <w:vAlign w:val="center"/>
          </w:tcPr>
          <w:p>
            <w:pPr>
              <w:widowControl/>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1055" w:type="dxa"/>
            <w:shd w:val="clear" w:color="auto" w:fill="auto"/>
            <w:noWrap/>
            <w:vAlign w:val="center"/>
          </w:tcPr>
          <w:p>
            <w:pPr>
              <w:widowControl/>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4336" w:type="dxa"/>
            <w:shd w:val="clear" w:color="auto" w:fill="auto"/>
            <w:noWrap/>
            <w:vAlign w:val="center"/>
          </w:tcPr>
          <w:p>
            <w:pPr>
              <w:widowControl/>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1785" w:type="dxa"/>
            <w:shd w:val="clear" w:color="auto" w:fill="auto"/>
            <w:noWrap/>
            <w:vAlign w:val="center"/>
          </w:tcPr>
          <w:p>
            <w:pPr>
              <w:widowControl/>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r>
    </w:tbl>
    <w:p>
      <w:pPr>
        <w:spacing w:line="520" w:lineRule="exact"/>
        <w:ind w:firstLine="560" w:firstLineChars="200"/>
        <w:rPr>
          <w:rFonts w:ascii="Times New Roman" w:hAnsi="Times New Roman" w:eastAsia="仿宋" w:cs="Times New Roman"/>
          <w:sz w:val="28"/>
          <w:szCs w:val="28"/>
        </w:rPr>
      </w:pP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（三）售后服务机构设置情况和联系电话</w:t>
      </w: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__________________</w:t>
      </w: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七、投标人认为需要提供的文件和资料</w:t>
      </w:r>
    </w:p>
    <w:p>
      <w:pPr>
        <w:spacing w:line="520" w:lineRule="exact"/>
        <w:ind w:firstLine="560" w:firstLineChars="200"/>
        <w:rPr>
          <w:rFonts w:ascii="Times New Roman" w:hAnsi="Times New Roman" w:eastAsia="仿宋" w:cs="Times New Roman"/>
          <w:b/>
          <w:sz w:val="28"/>
          <w:szCs w:val="28"/>
        </w:rPr>
      </w:pPr>
      <w:r>
        <w:rPr>
          <w:rFonts w:ascii="Times New Roman" w:hAnsi="Times New Roman" w:eastAsia="仿宋" w:cs="Times New Roman"/>
          <w:sz w:val="28"/>
          <w:szCs w:val="28"/>
        </w:rPr>
        <w:t>__________________</w:t>
      </w:r>
    </w:p>
    <w:p>
      <w:pPr>
        <w:spacing w:line="520" w:lineRule="exact"/>
        <w:ind w:firstLine="420" w:firstLineChars="200"/>
        <w:rPr>
          <w:rFonts w:ascii="Times New Roman" w:hAnsi="Times New Roman" w:cs="Times New Roman"/>
        </w:rPr>
      </w:pPr>
      <w:r>
        <w:rPr>
          <w:rFonts w:ascii="Times New Roman" w:hAnsi="Times New Roman" w:cs="Times New Roman"/>
        </w:rPr>
        <w:br w:type="page"/>
      </w:r>
    </w:p>
    <w:bookmarkEnd w:id="10"/>
    <w:p>
      <w:pPr>
        <w:widowControl/>
        <w:jc w:val="center"/>
        <w:outlineLvl w:val="0"/>
        <w:rPr>
          <w:rFonts w:ascii="Times New Roman" w:hAnsi="Times New Roman" w:eastAsia="黑体" w:cs="Times New Roman"/>
          <w:bCs/>
          <w:sz w:val="36"/>
          <w:szCs w:val="32"/>
        </w:rPr>
      </w:pPr>
      <w:bookmarkStart w:id="11" w:name="_Toc20234161"/>
      <w:r>
        <w:rPr>
          <w:rFonts w:ascii="Times New Roman" w:hAnsi="Times New Roman" w:eastAsia="黑体" w:cs="Times New Roman"/>
          <w:bCs/>
          <w:sz w:val="36"/>
          <w:szCs w:val="32"/>
        </w:rPr>
        <w:t>第四章</w:t>
      </w:r>
      <w:r>
        <w:rPr>
          <w:rFonts w:ascii="Times New Roman" w:hAnsi="Times New Roman" w:eastAsia="黑体" w:cs="Times New Roman"/>
          <w:bCs/>
          <w:sz w:val="36"/>
          <w:szCs w:val="32"/>
        </w:rPr>
        <w:tab/>
      </w:r>
      <w:r>
        <w:rPr>
          <w:rFonts w:ascii="Times New Roman" w:hAnsi="Times New Roman" w:eastAsia="黑体" w:cs="Times New Roman"/>
          <w:bCs/>
          <w:sz w:val="36"/>
          <w:szCs w:val="32"/>
        </w:rPr>
        <w:t>招标项目的资格要求以及投标人应当提供的资格证明材料</w:t>
      </w:r>
      <w:bookmarkEnd w:id="11"/>
    </w:p>
    <w:p>
      <w:pPr>
        <w:spacing w:line="520" w:lineRule="exact"/>
        <w:ind w:firstLine="562" w:firstLineChars="200"/>
        <w:rPr>
          <w:rFonts w:ascii="Times New Roman" w:hAnsi="Times New Roman" w:eastAsia="仿宋" w:cs="Times New Roman"/>
          <w:b/>
          <w:sz w:val="28"/>
          <w:szCs w:val="28"/>
        </w:rPr>
      </w:pPr>
    </w:p>
    <w:tbl>
      <w:tblPr>
        <w:tblStyle w:val="17"/>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411"/>
        <w:gridCol w:w="6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7" w:type="dxa"/>
            <w:vAlign w:val="center"/>
          </w:tcPr>
          <w:p>
            <w:pPr>
              <w:adjustRightInd w:val="0"/>
              <w:spacing w:line="300" w:lineRule="auto"/>
              <w:jc w:val="center"/>
              <w:rPr>
                <w:rFonts w:ascii="Times New Roman" w:hAnsi="Times New Roman" w:eastAsia="仿宋" w:cs="Times New Roman"/>
                <w:b/>
                <w:sz w:val="24"/>
                <w:szCs w:val="24"/>
              </w:rPr>
            </w:pPr>
            <w:bookmarkStart w:id="12" w:name="_Hlk19700939"/>
            <w:r>
              <w:rPr>
                <w:rFonts w:ascii="Times New Roman" w:hAnsi="Times New Roman" w:eastAsia="仿宋" w:cs="Times New Roman"/>
                <w:b/>
                <w:sz w:val="24"/>
                <w:szCs w:val="24"/>
              </w:rPr>
              <w:t>序号</w:t>
            </w:r>
          </w:p>
        </w:tc>
        <w:tc>
          <w:tcPr>
            <w:tcW w:w="2411" w:type="dxa"/>
            <w:vAlign w:val="center"/>
          </w:tcPr>
          <w:p>
            <w:pPr>
              <w:adjustRightInd w:val="0"/>
              <w:spacing w:line="300" w:lineRule="auto"/>
              <w:jc w:val="center"/>
              <w:rPr>
                <w:rFonts w:ascii="Times New Roman" w:hAnsi="Times New Roman" w:eastAsia="仿宋" w:cs="Times New Roman"/>
                <w:b/>
                <w:sz w:val="24"/>
                <w:szCs w:val="24"/>
              </w:rPr>
            </w:pPr>
            <w:r>
              <w:rPr>
                <w:rFonts w:ascii="Times New Roman" w:hAnsi="Times New Roman" w:eastAsia="仿宋" w:cs="Times New Roman"/>
                <w:b/>
                <w:sz w:val="24"/>
                <w:szCs w:val="24"/>
              </w:rPr>
              <w:t>本项目的资格要求</w:t>
            </w:r>
          </w:p>
        </w:tc>
        <w:tc>
          <w:tcPr>
            <w:tcW w:w="6058" w:type="dxa"/>
            <w:vAlign w:val="center"/>
          </w:tcPr>
          <w:p>
            <w:pPr>
              <w:adjustRightInd w:val="0"/>
              <w:spacing w:line="300" w:lineRule="auto"/>
              <w:jc w:val="center"/>
              <w:rPr>
                <w:rFonts w:ascii="Times New Roman" w:hAnsi="Times New Roman" w:eastAsia="仿宋" w:cs="Times New Roman"/>
                <w:b/>
                <w:sz w:val="24"/>
                <w:szCs w:val="24"/>
              </w:rPr>
            </w:pPr>
            <w:r>
              <w:rPr>
                <w:rFonts w:ascii="Times New Roman" w:hAnsi="Times New Roman" w:eastAsia="仿宋" w:cs="Times New Roman"/>
                <w:b/>
                <w:sz w:val="24"/>
                <w:szCs w:val="24"/>
              </w:rPr>
              <w:t>投标人应当提供的资格证明材料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adjustRightInd w:val="0"/>
              <w:spacing w:line="300" w:lineRule="auto"/>
              <w:jc w:val="center"/>
              <w:rPr>
                <w:rFonts w:ascii="Times New Roman" w:hAnsi="Times New Roman" w:eastAsia="仿宋" w:cs="Times New Roman"/>
                <w:bCs/>
                <w:sz w:val="24"/>
                <w:szCs w:val="24"/>
              </w:rPr>
            </w:pPr>
            <w:bookmarkStart w:id="13" w:name="_Hlk19700767"/>
            <w:r>
              <w:rPr>
                <w:rFonts w:ascii="Times New Roman" w:hAnsi="Times New Roman" w:eastAsia="仿宋" w:cs="Times New Roman"/>
                <w:bCs/>
                <w:sz w:val="24"/>
                <w:szCs w:val="24"/>
              </w:rPr>
              <w:t>1</w:t>
            </w:r>
          </w:p>
        </w:tc>
        <w:tc>
          <w:tcPr>
            <w:tcW w:w="2411" w:type="dxa"/>
            <w:vAlign w:val="center"/>
          </w:tcPr>
          <w:p>
            <w:pPr>
              <w:adjustRightInd w:val="0"/>
              <w:spacing w:line="300" w:lineRule="auto"/>
              <w:jc w:val="center"/>
              <w:rPr>
                <w:rFonts w:ascii="Times New Roman" w:hAnsi="Times New Roman" w:eastAsia="仿宋" w:cs="Times New Roman"/>
                <w:bCs/>
                <w:sz w:val="24"/>
                <w:szCs w:val="24"/>
              </w:rPr>
            </w:pPr>
            <w:r>
              <w:rPr>
                <w:rFonts w:ascii="Times New Roman" w:hAnsi="Times New Roman" w:eastAsia="仿宋" w:cs="Times New Roman"/>
                <w:bCs/>
                <w:sz w:val="24"/>
                <w:szCs w:val="24"/>
              </w:rPr>
              <w:t>具有独立承担民事责任的能力</w:t>
            </w:r>
          </w:p>
        </w:tc>
        <w:tc>
          <w:tcPr>
            <w:tcW w:w="6058" w:type="dxa"/>
            <w:vAlign w:val="center"/>
          </w:tcPr>
          <w:p>
            <w:pPr>
              <w:adjustRightInd w:val="0"/>
              <w:spacing w:line="300" w:lineRule="auto"/>
              <w:rPr>
                <w:rFonts w:ascii="Times New Roman" w:hAnsi="Times New Roman" w:eastAsia="仿宋" w:cs="Times New Roman"/>
                <w:bCs/>
                <w:sz w:val="24"/>
                <w:szCs w:val="24"/>
              </w:rPr>
            </w:pPr>
            <w:r>
              <w:rPr>
                <w:rFonts w:ascii="Times New Roman" w:hAnsi="Times New Roman" w:eastAsia="仿宋" w:cs="Times New Roman"/>
                <w:bCs/>
                <w:sz w:val="24"/>
                <w:szCs w:val="24"/>
              </w:rPr>
              <w:t>（1）供应商是法人的，提供《营业执照》（或《事业单位法人证书》，或其他能够证明其依法有效存在的书面材料），以及法定代表人的身份证明；供应商是其他组织的，提供能够证明其依法有效存在的书面材料，以及组织负责人的身份证明；供应商是自然人的，提供其身份证明；</w:t>
            </w:r>
          </w:p>
          <w:p>
            <w:pPr>
              <w:adjustRightInd w:val="0"/>
              <w:spacing w:line="300" w:lineRule="auto"/>
              <w:rPr>
                <w:rFonts w:ascii="Times New Roman" w:hAnsi="Times New Roman" w:eastAsia="仿宋" w:cs="Times New Roman"/>
                <w:bCs/>
                <w:sz w:val="24"/>
                <w:szCs w:val="24"/>
              </w:rPr>
            </w:pPr>
            <w:r>
              <w:rPr>
                <w:rFonts w:ascii="Times New Roman" w:hAnsi="Times New Roman" w:eastAsia="仿宋" w:cs="Times New Roman"/>
                <w:bCs/>
                <w:sz w:val="24"/>
                <w:szCs w:val="24"/>
              </w:rPr>
              <w:t>（2）供应商派出参加政府采购活动的代表不是法定代表人或组织负责人的，应提供派出代表的《授权委托书》及其身份证明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adjustRightInd w:val="0"/>
              <w:spacing w:line="300" w:lineRule="auto"/>
              <w:jc w:val="center"/>
              <w:rPr>
                <w:rFonts w:ascii="Times New Roman" w:hAnsi="Times New Roman" w:eastAsia="仿宋" w:cs="Times New Roman"/>
                <w:bCs/>
                <w:sz w:val="24"/>
                <w:szCs w:val="24"/>
              </w:rPr>
            </w:pPr>
            <w:r>
              <w:rPr>
                <w:rFonts w:ascii="Times New Roman" w:hAnsi="Times New Roman" w:eastAsia="仿宋" w:cs="Times New Roman"/>
                <w:bCs/>
                <w:sz w:val="24"/>
                <w:szCs w:val="24"/>
              </w:rPr>
              <w:t>2</w:t>
            </w:r>
          </w:p>
        </w:tc>
        <w:tc>
          <w:tcPr>
            <w:tcW w:w="2411" w:type="dxa"/>
            <w:vAlign w:val="center"/>
          </w:tcPr>
          <w:p>
            <w:pPr>
              <w:adjustRightInd w:val="0"/>
              <w:spacing w:line="300" w:lineRule="auto"/>
              <w:jc w:val="center"/>
              <w:rPr>
                <w:rFonts w:ascii="Times New Roman" w:hAnsi="Times New Roman" w:eastAsia="仿宋" w:cs="Times New Roman"/>
                <w:bCs/>
                <w:sz w:val="24"/>
                <w:szCs w:val="24"/>
              </w:rPr>
            </w:pPr>
            <w:r>
              <w:rPr>
                <w:rFonts w:ascii="Times New Roman" w:hAnsi="Times New Roman" w:eastAsia="仿宋" w:cs="Times New Roman"/>
                <w:bCs/>
                <w:sz w:val="24"/>
                <w:szCs w:val="24"/>
              </w:rPr>
              <w:t>具有良好的商业信誉和健全的财务会计制度</w:t>
            </w:r>
          </w:p>
        </w:tc>
        <w:tc>
          <w:tcPr>
            <w:tcW w:w="6058" w:type="dxa"/>
            <w:vAlign w:val="center"/>
          </w:tcPr>
          <w:p>
            <w:pPr>
              <w:adjustRightInd w:val="0"/>
              <w:spacing w:line="300" w:lineRule="auto"/>
              <w:rPr>
                <w:rFonts w:ascii="Times New Roman" w:hAnsi="Times New Roman" w:eastAsia="仿宋" w:cs="Times New Roman"/>
                <w:bCs/>
                <w:sz w:val="24"/>
                <w:szCs w:val="24"/>
              </w:rPr>
            </w:pPr>
            <w:r>
              <w:rPr>
                <w:rFonts w:ascii="Times New Roman" w:hAnsi="Times New Roman" w:eastAsia="仿宋" w:cs="Times New Roman"/>
                <w:bCs/>
                <w:sz w:val="24"/>
                <w:szCs w:val="24"/>
              </w:rPr>
              <w:t>（1）提供具有良好商业信誉的承诺函；</w:t>
            </w:r>
          </w:p>
          <w:p>
            <w:pPr>
              <w:adjustRightInd w:val="0"/>
              <w:spacing w:line="300" w:lineRule="auto"/>
              <w:rPr>
                <w:rFonts w:ascii="Times New Roman" w:hAnsi="Times New Roman" w:eastAsia="仿宋" w:cs="Times New Roman"/>
                <w:bCs/>
                <w:sz w:val="24"/>
                <w:szCs w:val="24"/>
              </w:rPr>
            </w:pPr>
            <w:r>
              <w:rPr>
                <w:rFonts w:ascii="Times New Roman" w:hAnsi="Times New Roman" w:eastAsia="仿宋" w:cs="Times New Roman"/>
                <w:bCs/>
                <w:sz w:val="24"/>
                <w:szCs w:val="24"/>
              </w:rPr>
              <w:t>（2）提供财务状况报告（以下二者任选其一）：</w:t>
            </w:r>
          </w:p>
          <w:p>
            <w:pPr>
              <w:adjustRightInd w:val="0"/>
              <w:spacing w:line="300" w:lineRule="auto"/>
              <w:rPr>
                <w:rFonts w:ascii="Times New Roman" w:hAnsi="Times New Roman" w:eastAsia="仿宋" w:cs="Times New Roman"/>
                <w:bCs/>
                <w:sz w:val="24"/>
                <w:szCs w:val="24"/>
              </w:rPr>
            </w:pPr>
            <w:r>
              <w:rPr>
                <w:rFonts w:ascii="Times New Roman" w:hAnsi="Times New Roman" w:eastAsia="仿宋" w:cs="Times New Roman"/>
                <w:bCs/>
                <w:sz w:val="24"/>
                <w:szCs w:val="24"/>
              </w:rPr>
              <w:t>a.经会计师事务所审计的2019年度</w:t>
            </w:r>
            <w:r>
              <w:rPr>
                <w:rFonts w:hint="eastAsia" w:ascii="Times New Roman" w:hAnsi="Times New Roman" w:eastAsia="仿宋" w:cs="Times New Roman"/>
                <w:bCs/>
                <w:sz w:val="24"/>
                <w:szCs w:val="24"/>
                <w:lang w:val="en-US" w:eastAsia="zh-CN"/>
              </w:rPr>
              <w:t>或2020年度</w:t>
            </w:r>
            <w:r>
              <w:rPr>
                <w:rFonts w:ascii="Times New Roman" w:hAnsi="Times New Roman" w:eastAsia="仿宋" w:cs="Times New Roman"/>
                <w:bCs/>
                <w:sz w:val="24"/>
                <w:szCs w:val="24"/>
              </w:rPr>
              <w:t>财务会计报告；</w:t>
            </w:r>
          </w:p>
          <w:p>
            <w:pPr>
              <w:adjustRightInd w:val="0"/>
              <w:spacing w:line="300" w:lineRule="auto"/>
              <w:rPr>
                <w:rFonts w:ascii="Times New Roman" w:hAnsi="Times New Roman" w:eastAsia="仿宋" w:cs="Times New Roman"/>
                <w:bCs/>
                <w:sz w:val="24"/>
                <w:szCs w:val="24"/>
              </w:rPr>
            </w:pPr>
            <w:r>
              <w:rPr>
                <w:rFonts w:ascii="Times New Roman" w:hAnsi="Times New Roman" w:eastAsia="仿宋" w:cs="Times New Roman"/>
                <w:bCs/>
                <w:sz w:val="24"/>
                <w:szCs w:val="24"/>
              </w:rPr>
              <w:t>b.银行出具的资信证明（本项目要求资信证明的出具时间应在投标截止时间前的90日内）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adjustRightInd w:val="0"/>
              <w:spacing w:line="300" w:lineRule="auto"/>
              <w:jc w:val="center"/>
              <w:rPr>
                <w:rFonts w:ascii="Times New Roman" w:hAnsi="Times New Roman" w:eastAsia="仿宋" w:cs="Times New Roman"/>
                <w:bCs/>
                <w:sz w:val="24"/>
                <w:szCs w:val="24"/>
              </w:rPr>
            </w:pPr>
            <w:r>
              <w:rPr>
                <w:rFonts w:ascii="Times New Roman" w:hAnsi="Times New Roman" w:eastAsia="仿宋" w:cs="Times New Roman"/>
                <w:bCs/>
                <w:sz w:val="24"/>
                <w:szCs w:val="24"/>
              </w:rPr>
              <w:t>3</w:t>
            </w:r>
          </w:p>
        </w:tc>
        <w:tc>
          <w:tcPr>
            <w:tcW w:w="2411" w:type="dxa"/>
            <w:vAlign w:val="center"/>
          </w:tcPr>
          <w:p>
            <w:pPr>
              <w:adjustRightInd w:val="0"/>
              <w:spacing w:line="300" w:lineRule="auto"/>
              <w:jc w:val="center"/>
              <w:rPr>
                <w:rFonts w:ascii="Times New Roman" w:hAnsi="Times New Roman" w:eastAsia="仿宋" w:cs="Times New Roman"/>
                <w:bCs/>
                <w:sz w:val="24"/>
                <w:szCs w:val="24"/>
              </w:rPr>
            </w:pPr>
            <w:r>
              <w:rPr>
                <w:rFonts w:ascii="Times New Roman" w:hAnsi="Times New Roman" w:eastAsia="仿宋" w:cs="Times New Roman"/>
                <w:bCs/>
                <w:sz w:val="24"/>
                <w:szCs w:val="24"/>
              </w:rPr>
              <w:t>具有履行合同所必需的设备和专业技术能力</w:t>
            </w:r>
          </w:p>
        </w:tc>
        <w:tc>
          <w:tcPr>
            <w:tcW w:w="6058" w:type="dxa"/>
            <w:vAlign w:val="center"/>
          </w:tcPr>
          <w:p>
            <w:pPr>
              <w:adjustRightInd w:val="0"/>
              <w:spacing w:line="300" w:lineRule="auto"/>
              <w:rPr>
                <w:rFonts w:ascii="Times New Roman" w:hAnsi="Times New Roman" w:eastAsia="仿宋" w:cs="Times New Roman"/>
                <w:bCs/>
                <w:sz w:val="24"/>
                <w:szCs w:val="24"/>
              </w:rPr>
            </w:pPr>
            <w:r>
              <w:rPr>
                <w:rFonts w:ascii="Times New Roman" w:hAnsi="Times New Roman" w:eastAsia="仿宋" w:cs="Times New Roman"/>
                <w:bCs/>
                <w:sz w:val="24"/>
                <w:szCs w:val="24"/>
              </w:rPr>
              <w:t>提供具有履行合同所必需的设备和专业技术能力的证明材料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adjustRightInd w:val="0"/>
              <w:spacing w:line="300" w:lineRule="auto"/>
              <w:jc w:val="center"/>
              <w:rPr>
                <w:rFonts w:ascii="Times New Roman" w:hAnsi="Times New Roman" w:eastAsia="仿宋" w:cs="Times New Roman"/>
                <w:bCs/>
                <w:sz w:val="24"/>
                <w:szCs w:val="24"/>
              </w:rPr>
            </w:pPr>
            <w:r>
              <w:rPr>
                <w:rFonts w:ascii="Times New Roman" w:hAnsi="Times New Roman" w:eastAsia="仿宋" w:cs="Times New Roman"/>
                <w:bCs/>
                <w:sz w:val="24"/>
                <w:szCs w:val="24"/>
              </w:rPr>
              <w:t>4</w:t>
            </w:r>
          </w:p>
        </w:tc>
        <w:tc>
          <w:tcPr>
            <w:tcW w:w="2411" w:type="dxa"/>
            <w:vAlign w:val="center"/>
          </w:tcPr>
          <w:p>
            <w:pPr>
              <w:adjustRightInd w:val="0"/>
              <w:spacing w:line="300" w:lineRule="auto"/>
              <w:jc w:val="center"/>
              <w:rPr>
                <w:rFonts w:ascii="Times New Roman" w:hAnsi="Times New Roman" w:eastAsia="仿宋" w:cs="Times New Roman"/>
                <w:bCs/>
                <w:sz w:val="24"/>
                <w:szCs w:val="24"/>
              </w:rPr>
            </w:pPr>
            <w:r>
              <w:rPr>
                <w:rFonts w:ascii="Times New Roman" w:hAnsi="Times New Roman" w:eastAsia="仿宋" w:cs="Times New Roman"/>
                <w:bCs/>
                <w:sz w:val="24"/>
                <w:szCs w:val="24"/>
              </w:rPr>
              <w:t>有依法缴纳税收和社会保障资金的良好记录</w:t>
            </w:r>
          </w:p>
        </w:tc>
        <w:tc>
          <w:tcPr>
            <w:tcW w:w="6058" w:type="dxa"/>
            <w:vAlign w:val="center"/>
          </w:tcPr>
          <w:p>
            <w:pPr>
              <w:adjustRightInd w:val="0"/>
              <w:spacing w:line="300" w:lineRule="auto"/>
              <w:rPr>
                <w:rFonts w:ascii="Times New Roman" w:hAnsi="Times New Roman" w:eastAsia="仿宋" w:cs="Times New Roman"/>
                <w:bCs/>
                <w:sz w:val="24"/>
                <w:szCs w:val="24"/>
              </w:rPr>
            </w:pPr>
            <w:r>
              <w:rPr>
                <w:rFonts w:ascii="Times New Roman" w:hAnsi="Times New Roman" w:eastAsia="仿宋" w:cs="Times New Roman"/>
                <w:bCs/>
                <w:sz w:val="24"/>
                <w:szCs w:val="24"/>
              </w:rPr>
              <w:t>（1）提供供应商缴纳税收的银行电子回单，或者税务部门出具的纳税证明或完税证明；（投标截止时间前6个月内的任意时段）</w:t>
            </w:r>
          </w:p>
          <w:p>
            <w:pPr>
              <w:adjustRightInd w:val="0"/>
              <w:spacing w:line="300" w:lineRule="auto"/>
              <w:rPr>
                <w:rFonts w:ascii="Times New Roman" w:hAnsi="Times New Roman" w:eastAsia="仿宋" w:cs="Times New Roman"/>
                <w:bCs/>
                <w:sz w:val="24"/>
                <w:szCs w:val="24"/>
              </w:rPr>
            </w:pPr>
            <w:r>
              <w:rPr>
                <w:rFonts w:ascii="Times New Roman" w:hAnsi="Times New Roman" w:eastAsia="仿宋" w:cs="Times New Roman"/>
                <w:bCs/>
                <w:sz w:val="24"/>
                <w:szCs w:val="24"/>
              </w:rPr>
              <w:t>（2）提供供应商缴纳社保的银行电子回单，或者社保部门出具的社保缴纳证明材料；（投标截止时间前6个月内的任意时段）</w:t>
            </w:r>
          </w:p>
          <w:p>
            <w:pPr>
              <w:adjustRightInd w:val="0"/>
              <w:spacing w:line="300" w:lineRule="auto"/>
              <w:rPr>
                <w:rFonts w:ascii="Times New Roman" w:hAnsi="Times New Roman" w:eastAsia="仿宋" w:cs="Times New Roman"/>
                <w:bCs/>
                <w:sz w:val="24"/>
                <w:szCs w:val="24"/>
              </w:rPr>
            </w:pPr>
            <w:r>
              <w:rPr>
                <w:rFonts w:ascii="Times New Roman" w:hAnsi="Times New Roman" w:eastAsia="仿宋" w:cs="Times New Roman"/>
                <w:bCs/>
                <w:sz w:val="24"/>
                <w:szCs w:val="24"/>
              </w:rPr>
              <w:t>（3）提供承诺函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adjustRightInd w:val="0"/>
              <w:spacing w:line="300" w:lineRule="auto"/>
              <w:jc w:val="center"/>
              <w:rPr>
                <w:rFonts w:ascii="Times New Roman" w:hAnsi="Times New Roman" w:eastAsia="仿宋" w:cs="Times New Roman"/>
                <w:bCs/>
                <w:sz w:val="24"/>
                <w:szCs w:val="24"/>
              </w:rPr>
            </w:pPr>
            <w:r>
              <w:rPr>
                <w:rFonts w:ascii="Times New Roman" w:hAnsi="Times New Roman" w:eastAsia="仿宋" w:cs="Times New Roman"/>
                <w:bCs/>
                <w:sz w:val="24"/>
                <w:szCs w:val="24"/>
              </w:rPr>
              <w:t>5</w:t>
            </w:r>
          </w:p>
        </w:tc>
        <w:tc>
          <w:tcPr>
            <w:tcW w:w="2411" w:type="dxa"/>
            <w:vAlign w:val="center"/>
          </w:tcPr>
          <w:p>
            <w:pPr>
              <w:adjustRightInd w:val="0"/>
              <w:spacing w:line="300" w:lineRule="auto"/>
              <w:jc w:val="center"/>
              <w:rPr>
                <w:rFonts w:ascii="Times New Roman" w:hAnsi="Times New Roman" w:eastAsia="仿宋" w:cs="Times New Roman"/>
                <w:bCs/>
                <w:sz w:val="24"/>
                <w:szCs w:val="24"/>
              </w:rPr>
            </w:pPr>
            <w:r>
              <w:rPr>
                <w:rFonts w:ascii="Times New Roman" w:hAnsi="Times New Roman" w:eastAsia="仿宋" w:cs="Times New Roman"/>
                <w:bCs/>
                <w:sz w:val="24"/>
                <w:szCs w:val="24"/>
              </w:rPr>
              <w:t>参加本次政府采购活动前3年内，在经营活动中没有重大违法记录</w:t>
            </w:r>
          </w:p>
        </w:tc>
        <w:tc>
          <w:tcPr>
            <w:tcW w:w="6058" w:type="dxa"/>
            <w:vAlign w:val="center"/>
          </w:tcPr>
          <w:p>
            <w:pPr>
              <w:adjustRightInd w:val="0"/>
              <w:spacing w:line="300" w:lineRule="auto"/>
              <w:rPr>
                <w:rFonts w:ascii="Times New Roman" w:hAnsi="Times New Roman" w:eastAsia="仿宋" w:cs="Times New Roman"/>
                <w:bCs/>
                <w:sz w:val="24"/>
                <w:szCs w:val="24"/>
              </w:rPr>
            </w:pPr>
            <w:r>
              <w:rPr>
                <w:rFonts w:ascii="Times New Roman" w:hAnsi="Times New Roman" w:eastAsia="仿宋" w:cs="Times New Roman"/>
                <w:bCs/>
                <w:sz w:val="24"/>
                <w:szCs w:val="24"/>
              </w:rPr>
              <w:t>提供承诺函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adjustRightInd w:val="0"/>
              <w:spacing w:line="300" w:lineRule="auto"/>
              <w:jc w:val="center"/>
              <w:rPr>
                <w:rFonts w:ascii="Times New Roman" w:hAnsi="Times New Roman" w:eastAsia="仿宋" w:cs="Times New Roman"/>
                <w:bCs/>
                <w:sz w:val="24"/>
                <w:szCs w:val="24"/>
              </w:rPr>
            </w:pPr>
            <w:r>
              <w:rPr>
                <w:rFonts w:ascii="Times New Roman" w:hAnsi="Times New Roman" w:eastAsia="仿宋" w:cs="Times New Roman"/>
                <w:bCs/>
                <w:sz w:val="24"/>
                <w:szCs w:val="24"/>
              </w:rPr>
              <w:t>6</w:t>
            </w:r>
          </w:p>
        </w:tc>
        <w:tc>
          <w:tcPr>
            <w:tcW w:w="2411" w:type="dxa"/>
            <w:vAlign w:val="center"/>
          </w:tcPr>
          <w:p>
            <w:pPr>
              <w:adjustRightInd w:val="0"/>
              <w:spacing w:line="300" w:lineRule="auto"/>
              <w:jc w:val="center"/>
              <w:rPr>
                <w:rFonts w:ascii="Times New Roman" w:hAnsi="Times New Roman" w:eastAsia="仿宋" w:cs="Times New Roman"/>
                <w:bCs/>
                <w:sz w:val="24"/>
                <w:szCs w:val="24"/>
              </w:rPr>
            </w:pPr>
            <w:r>
              <w:rPr>
                <w:rFonts w:ascii="Times New Roman" w:hAnsi="Times New Roman" w:eastAsia="仿宋" w:cs="Times New Roman"/>
                <w:bCs/>
                <w:sz w:val="24"/>
                <w:szCs w:val="24"/>
              </w:rPr>
              <w:t>法律、行政法规规定的其他条件</w:t>
            </w:r>
          </w:p>
        </w:tc>
        <w:tc>
          <w:tcPr>
            <w:tcW w:w="6058" w:type="dxa"/>
            <w:vAlign w:val="center"/>
          </w:tcPr>
          <w:p>
            <w:pPr>
              <w:adjustRightInd w:val="0"/>
              <w:spacing w:line="300" w:lineRule="auto"/>
              <w:rPr>
                <w:rFonts w:ascii="Times New Roman" w:hAnsi="Times New Roman" w:eastAsia="仿宋" w:cs="Times New Roman"/>
                <w:bCs/>
                <w:sz w:val="24"/>
                <w:szCs w:val="24"/>
              </w:rPr>
            </w:pPr>
            <w:r>
              <w:rPr>
                <w:rFonts w:ascii="Times New Roman" w:hAnsi="Times New Roman" w:eastAsia="仿宋" w:cs="Times New Roman"/>
                <w:bCs/>
                <w:sz w:val="24"/>
                <w:szCs w:val="24"/>
              </w:rPr>
              <w:t>在法律法规有特殊规定的情况下提供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adjustRightInd w:val="0"/>
              <w:spacing w:line="300" w:lineRule="auto"/>
              <w:jc w:val="center"/>
              <w:rPr>
                <w:rFonts w:ascii="Times New Roman" w:hAnsi="Times New Roman" w:eastAsia="仿宋" w:cs="Times New Roman"/>
                <w:bCs/>
                <w:sz w:val="24"/>
                <w:szCs w:val="24"/>
              </w:rPr>
            </w:pPr>
            <w:r>
              <w:rPr>
                <w:rFonts w:ascii="Times New Roman" w:hAnsi="Times New Roman" w:eastAsia="仿宋" w:cs="Times New Roman"/>
                <w:bCs/>
                <w:sz w:val="24"/>
                <w:szCs w:val="24"/>
              </w:rPr>
              <w:t>7</w:t>
            </w:r>
          </w:p>
        </w:tc>
        <w:tc>
          <w:tcPr>
            <w:tcW w:w="2411" w:type="dxa"/>
            <w:vAlign w:val="center"/>
          </w:tcPr>
          <w:p>
            <w:pPr>
              <w:adjustRightInd w:val="0"/>
              <w:spacing w:line="300" w:lineRule="auto"/>
              <w:jc w:val="center"/>
              <w:rPr>
                <w:rFonts w:ascii="Times New Roman" w:hAnsi="Times New Roman" w:eastAsia="仿宋" w:cs="Times New Roman"/>
                <w:bCs/>
                <w:sz w:val="24"/>
                <w:szCs w:val="24"/>
              </w:rPr>
            </w:pPr>
            <w:r>
              <w:rPr>
                <w:rFonts w:ascii="Times New Roman" w:hAnsi="Times New Roman" w:eastAsia="仿宋" w:cs="Times New Roman"/>
                <w:bCs/>
                <w:sz w:val="24"/>
                <w:szCs w:val="24"/>
              </w:rPr>
              <w:t>采购项目的特殊要求</w:t>
            </w:r>
          </w:p>
        </w:tc>
        <w:tc>
          <w:tcPr>
            <w:tcW w:w="6058" w:type="dxa"/>
            <w:vAlign w:val="center"/>
          </w:tcPr>
          <w:p>
            <w:pPr>
              <w:adjustRightInd w:val="0"/>
              <w:spacing w:line="300" w:lineRule="auto"/>
              <w:rPr>
                <w:rFonts w:ascii="Times New Roman" w:hAnsi="Times New Roman" w:eastAsia="仿宋" w:cs="Times New Roman"/>
                <w:bCs/>
                <w:sz w:val="24"/>
                <w:szCs w:val="24"/>
              </w:rPr>
            </w:pPr>
            <w:r>
              <w:rPr>
                <w:rFonts w:ascii="Times New Roman" w:hAnsi="Times New Roman" w:eastAsia="仿宋" w:cs="Times New Roman"/>
                <w:bCs/>
                <w:sz w:val="24"/>
                <w:szCs w:val="24"/>
              </w:rPr>
              <w:t>提供投标承诺函</w:t>
            </w:r>
          </w:p>
        </w:tc>
      </w:tr>
      <w:bookmarkEnd w:id="12"/>
      <w:bookmarkEnd w:id="13"/>
    </w:tbl>
    <w:p>
      <w:pPr>
        <w:spacing w:line="520" w:lineRule="exact"/>
        <w:rPr>
          <w:rFonts w:ascii="Times New Roman" w:hAnsi="Times New Roman" w:eastAsia="仿宋" w:cs="Times New Roman"/>
          <w:sz w:val="28"/>
          <w:szCs w:val="24"/>
        </w:rPr>
      </w:pPr>
    </w:p>
    <w:p>
      <w:pPr>
        <w:spacing w:line="520" w:lineRule="exact"/>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备注：</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供应商在参加政府采购活动前，被纳入法院、工商行政管理部门、税务部门、银行认定的失信名单且在有效期内，或者在前3年政府采购合同履约过程中及其他经营活动履约过程中未依法履约被有关行政部门处罚（处理）的，本项目将认定其不具有良好的商业信誉；</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2.供应商提供的证件资料有正、副本的，本项目不对供应商关于该资料应提供正本或副本作出要求；</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3.关于本表所列各“承诺函”，供应商可以参照本文件第三章“投标承诺函”格式一并填写，不必为特定事项单独撰写承诺函；</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关于本表第2行第3列的“财务状况报告”：新成立公司不能提供经审计的财务报告的，应提供资产负债表、利润表、现金流量表、所有者权益变动表及附注（新成立公司执行小企业会计准则的，可不提供所有者权益变动表）；</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5.关于本表第3行第3列：供应商应结合本次政府采购项目特点和自身实际提供；该资料可以是现场照片、凭据凭证、资质证书、从业人员信息及其在供应商内部的分工或类似业绩证明等形式；</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6.关于本表第6行第3列：“法律法规有特殊规定的情况”是指特许经营、准入限制等情况。</w:t>
      </w:r>
    </w:p>
    <w:p>
      <w:pPr>
        <w:widowControl/>
        <w:jc w:val="left"/>
        <w:rPr>
          <w:rFonts w:ascii="Times New Roman" w:hAnsi="Times New Roman" w:eastAsia="黑体" w:cs="Times New Roman"/>
          <w:bCs/>
          <w:sz w:val="32"/>
          <w:szCs w:val="32"/>
        </w:rPr>
      </w:pPr>
      <w:r>
        <w:rPr>
          <w:rFonts w:ascii="Times New Roman" w:hAnsi="Times New Roman" w:eastAsia="黑体" w:cs="Times New Roman"/>
          <w:bCs/>
          <w:sz w:val="32"/>
          <w:szCs w:val="32"/>
        </w:rPr>
        <w:br w:type="page"/>
      </w:r>
    </w:p>
    <w:p>
      <w:pPr>
        <w:widowControl/>
        <w:jc w:val="center"/>
        <w:outlineLvl w:val="0"/>
        <w:rPr>
          <w:rFonts w:ascii="Times New Roman" w:hAnsi="Times New Roman" w:eastAsia="黑体" w:cs="Times New Roman"/>
          <w:bCs/>
          <w:sz w:val="36"/>
          <w:szCs w:val="32"/>
        </w:rPr>
      </w:pPr>
      <w:bookmarkStart w:id="14" w:name="_Toc20234162"/>
      <w:r>
        <w:rPr>
          <w:rFonts w:ascii="Times New Roman" w:hAnsi="Times New Roman" w:eastAsia="黑体" w:cs="Times New Roman"/>
          <w:bCs/>
          <w:sz w:val="36"/>
          <w:szCs w:val="32"/>
        </w:rPr>
        <w:t>第五章</w:t>
      </w:r>
      <w:r>
        <w:rPr>
          <w:rFonts w:ascii="Times New Roman" w:hAnsi="Times New Roman" w:eastAsia="黑体" w:cs="Times New Roman"/>
          <w:bCs/>
          <w:sz w:val="36"/>
          <w:szCs w:val="32"/>
        </w:rPr>
        <w:tab/>
      </w:r>
      <w:r>
        <w:rPr>
          <w:rFonts w:ascii="Times New Roman" w:hAnsi="Times New Roman" w:eastAsia="黑体" w:cs="Times New Roman"/>
          <w:bCs/>
          <w:sz w:val="36"/>
          <w:szCs w:val="32"/>
        </w:rPr>
        <w:t>招标项目技术、服务和其他要求</w:t>
      </w:r>
      <w:bookmarkEnd w:id="14"/>
    </w:p>
    <w:p>
      <w:pPr>
        <w:autoSpaceDE w:val="0"/>
        <w:autoSpaceDN w:val="0"/>
        <w:spacing w:line="520" w:lineRule="exact"/>
        <w:ind w:firstLine="551" w:firstLineChars="196"/>
        <w:rPr>
          <w:rFonts w:ascii="Times New Roman" w:hAnsi="Times New Roman" w:eastAsia="仿宋" w:cs="Times New Roman"/>
          <w:b/>
          <w:bCs/>
          <w:sz w:val="28"/>
          <w:szCs w:val="24"/>
          <w:lang w:val="zh-CN"/>
        </w:rPr>
      </w:pPr>
    </w:p>
    <w:p>
      <w:pPr>
        <w:autoSpaceDE w:val="0"/>
        <w:autoSpaceDN w:val="0"/>
        <w:spacing w:line="520" w:lineRule="exact"/>
        <w:ind w:firstLine="551" w:firstLineChars="196"/>
        <w:outlineLvl w:val="1"/>
        <w:rPr>
          <w:rFonts w:hint="default" w:ascii="Times New Roman" w:hAnsi="Times New Roman" w:eastAsia="仿宋" w:cs="Times New Roman"/>
          <w:b/>
          <w:bCs/>
          <w:sz w:val="28"/>
          <w:szCs w:val="24"/>
          <w:lang w:val="en-US" w:eastAsia="zh-CN"/>
        </w:rPr>
      </w:pPr>
      <w:bookmarkStart w:id="15" w:name="_Hlk531274860"/>
      <w:bookmarkStart w:id="16" w:name="_Hlk531275924"/>
      <w:bookmarkStart w:id="17" w:name="_Hlk531275884"/>
      <w:r>
        <w:rPr>
          <w:rFonts w:ascii="Times New Roman" w:hAnsi="Times New Roman" w:eastAsia="仿宋" w:cs="Times New Roman"/>
          <w:b/>
          <w:bCs/>
          <w:sz w:val="28"/>
          <w:szCs w:val="24"/>
          <w:lang w:val="zh-CN"/>
        </w:rPr>
        <w:t>一、采购内容清单</w:t>
      </w:r>
      <w:r>
        <w:rPr>
          <w:rFonts w:hint="eastAsia" w:ascii="Times New Roman" w:hAnsi="Times New Roman" w:eastAsia="仿宋" w:cs="Times New Roman"/>
          <w:b/>
          <w:bCs/>
          <w:sz w:val="28"/>
          <w:szCs w:val="24"/>
          <w:lang w:val="en-US" w:eastAsia="zh-CN"/>
        </w:rPr>
        <w:t>及技术要求</w:t>
      </w:r>
    </w:p>
    <w:tbl>
      <w:tblPr>
        <w:tblW w:w="9678" w:type="dxa"/>
        <w:tblInd w:w="93" w:type="dxa"/>
        <w:shd w:val="clear"/>
        <w:tblLayout w:type="fixed"/>
        <w:tblCellMar>
          <w:top w:w="0" w:type="dxa"/>
          <w:left w:w="108" w:type="dxa"/>
          <w:bottom w:w="0" w:type="dxa"/>
          <w:right w:w="108" w:type="dxa"/>
        </w:tblCellMar>
      </w:tblPr>
      <w:tblGrid>
        <w:gridCol w:w="490"/>
        <w:gridCol w:w="725"/>
        <w:gridCol w:w="937"/>
        <w:gridCol w:w="3138"/>
        <w:gridCol w:w="3357"/>
        <w:gridCol w:w="486"/>
        <w:gridCol w:w="4"/>
        <w:gridCol w:w="541"/>
      </w:tblGrid>
      <w:tr>
        <w:tblPrEx>
          <w:shd w:val="clear"/>
          <w:tblCellMar>
            <w:top w:w="0" w:type="dxa"/>
            <w:left w:w="108" w:type="dxa"/>
            <w:bottom w:w="0" w:type="dxa"/>
            <w:right w:w="108" w:type="dxa"/>
          </w:tblCellMar>
        </w:tblPrEx>
        <w:trPr>
          <w:wAfter w:w="0" w:type="auto"/>
          <w:trHeight w:val="72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名称</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规格</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图片</w:t>
            </w:r>
          </w:p>
        </w:tc>
        <w:tc>
          <w:tcPr>
            <w:tcW w:w="335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材质</w:t>
            </w: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单位</w:t>
            </w:r>
          </w:p>
        </w:tc>
      </w:tr>
      <w:tr>
        <w:tblPrEx>
          <w:tblCellMar>
            <w:top w:w="0" w:type="dxa"/>
            <w:left w:w="108" w:type="dxa"/>
            <w:bottom w:w="0" w:type="dxa"/>
            <w:right w:w="108" w:type="dxa"/>
          </w:tblCellMar>
        </w:tblPrEx>
        <w:trPr>
          <w:wAfter w:w="0" w:type="auto"/>
          <w:trHeight w:val="150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办公桌</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1800*900*760</w:t>
            </w:r>
          </w:p>
        </w:tc>
        <w:tc>
          <w:tcPr>
            <w:tcW w:w="3138" w:type="dxa"/>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135890</wp:posOffset>
                  </wp:positionH>
                  <wp:positionV relativeFrom="paragraph">
                    <wp:posOffset>615950</wp:posOffset>
                  </wp:positionV>
                  <wp:extent cx="1670685" cy="1350645"/>
                  <wp:effectExtent l="0" t="0" r="5715" b="1905"/>
                  <wp:wrapNone/>
                  <wp:docPr id="11" name="图片_83"/>
                  <wp:cNvGraphicFramePr/>
                  <a:graphic xmlns:a="http://schemas.openxmlformats.org/drawingml/2006/main">
                    <a:graphicData uri="http://schemas.openxmlformats.org/drawingml/2006/picture">
                      <pic:pic xmlns:pic="http://schemas.openxmlformats.org/drawingml/2006/picture">
                        <pic:nvPicPr>
                          <pic:cNvPr id="11" name="图片_83"/>
                          <pic:cNvPicPr/>
                        </pic:nvPicPr>
                        <pic:blipFill>
                          <a:blip r:embed="rId7"/>
                          <a:stretch>
                            <a:fillRect/>
                          </a:stretch>
                        </pic:blipFill>
                        <pic:spPr>
                          <a:xfrm>
                            <a:off x="0" y="0"/>
                            <a:ext cx="1670685" cy="1350645"/>
                          </a:xfrm>
                          <a:prstGeom prst="rect">
                            <a:avLst/>
                          </a:prstGeom>
                          <a:noFill/>
                          <a:ln>
                            <a:noFill/>
                          </a:ln>
                        </pic:spPr>
                      </pic:pic>
                    </a:graphicData>
                  </a:graphic>
                </wp:anchor>
              </w:drawing>
            </w:r>
          </w:p>
        </w:tc>
        <w:tc>
          <w:tcPr>
            <w:tcW w:w="3357"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1、基材：采用优质环保三聚氰胺板，板材的各项技术指标须符合《GB/T 15102-2017 浸渍胶膜纸饰面纤维板和刨花板》的要求，甲醛释放量符合国家强制性标准《GB 18580-2017 室内装饰装修材料 人造板及其制品中甲醛释放限量》要求，板材的甲醛释放量≤0.124mg/m³，表面耐干热、耐污染腐蚀、耐龟裂、耐水蒸汽；耐光色牢度﹥4级；</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2、封边条：采用优质PVC封边条，厚度不小于2mm。全自动封边，耐干热，无龟裂、无鼓泡；耐开裂性达到1级；封边条甲醛释放量≤1.5mg/L，各指标符合《QB/T 4463-2013 家具用封边条技术要求》的要求。</w:t>
            </w: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张</w:t>
            </w:r>
          </w:p>
        </w:tc>
      </w:tr>
      <w:tr>
        <w:tblPrEx>
          <w:shd w:val="clear"/>
          <w:tblCellMar>
            <w:top w:w="0" w:type="dxa"/>
            <w:left w:w="108" w:type="dxa"/>
            <w:bottom w:w="0" w:type="dxa"/>
            <w:right w:w="108" w:type="dxa"/>
          </w:tblCellMar>
        </w:tblPrEx>
        <w:trPr>
          <w:wAfter w:w="0" w:type="auto"/>
          <w:trHeight w:val="136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书柜</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2250*400*2000</w:t>
            </w:r>
          </w:p>
        </w:tc>
        <w:tc>
          <w:tcPr>
            <w:tcW w:w="3138" w:type="dxa"/>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bCs/>
                <w:i w:val="0"/>
                <w:iCs w:val="0"/>
                <w:color w:val="000000"/>
                <w:sz w:val="18"/>
                <w:szCs w:val="18"/>
                <w:u w:val="none"/>
              </w:rPr>
            </w:pPr>
          </w:p>
        </w:tc>
        <w:tc>
          <w:tcPr>
            <w:tcW w:w="3357"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组</w:t>
            </w:r>
          </w:p>
        </w:tc>
      </w:tr>
      <w:tr>
        <w:tblPrEx>
          <w:shd w:val="clear"/>
          <w:tblCellMar>
            <w:top w:w="0" w:type="dxa"/>
            <w:left w:w="108" w:type="dxa"/>
            <w:bottom w:w="0" w:type="dxa"/>
            <w:right w:w="108" w:type="dxa"/>
          </w:tblCellMar>
        </w:tblPrEx>
        <w:trPr>
          <w:wAfter w:w="0" w:type="auto"/>
          <w:trHeight w:val="298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办公椅</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厂标</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230505</wp:posOffset>
                  </wp:positionH>
                  <wp:positionV relativeFrom="paragraph">
                    <wp:posOffset>857885</wp:posOffset>
                  </wp:positionV>
                  <wp:extent cx="1395095" cy="1752600"/>
                  <wp:effectExtent l="0" t="0" r="14605" b="0"/>
                  <wp:wrapNone/>
                  <wp:docPr id="41" name="图片_5"/>
                  <wp:cNvGraphicFramePr/>
                  <a:graphic xmlns:a="http://schemas.openxmlformats.org/drawingml/2006/main">
                    <a:graphicData uri="http://schemas.openxmlformats.org/drawingml/2006/picture">
                      <pic:pic xmlns:pic="http://schemas.openxmlformats.org/drawingml/2006/picture">
                        <pic:nvPicPr>
                          <pic:cNvPr id="41" name="图片_5"/>
                          <pic:cNvPicPr/>
                        </pic:nvPicPr>
                        <pic:blipFill>
                          <a:blip r:embed="rId8"/>
                          <a:stretch>
                            <a:fillRect/>
                          </a:stretch>
                        </pic:blipFill>
                        <pic:spPr>
                          <a:xfrm>
                            <a:off x="0" y="0"/>
                            <a:ext cx="1395095" cy="1752600"/>
                          </a:xfrm>
                          <a:prstGeom prst="rect">
                            <a:avLst/>
                          </a:prstGeom>
                          <a:noFill/>
                          <a:ln>
                            <a:noFill/>
                          </a:ln>
                        </pic:spPr>
                      </pic:pic>
                    </a:graphicData>
                  </a:graphic>
                </wp:anchor>
              </w:drawing>
            </w:r>
          </w:p>
        </w:tc>
        <w:tc>
          <w:tcPr>
            <w:tcW w:w="335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1、面料：采用牛皮饰面，牛皮厚薄均匀，无油腻感，革身平整、柔软、丰满有弹性；皮革涂层粘着牢度≧2.5N/10mm，气味≦3级，PH≧3.2,游离甲醛≤75mg/kg,不含铅、镉等可萃取重金属；</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2、海绵：海绵颜色均匀、无污染、无刺激性气味，回弹率≧50%，拉伸强度≧100kPa；</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3、气压棒：内芯管壁厚度≧2.0mm，金属件通过100h中性盐雾试验，耐腐蚀等级达到10级；</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4、内框架：实木框架，木材经干燥、防虫、防腐处理，木材全干密度≧0.50g/cm³，含水率低于16%；甲醛释放量≤1.5mg/L，符合《GB 18584-2001 室内装饰装修材料 木家具中有害物质限量》标准要求；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5、五星脚架：电镀钢脚架。</w:t>
            </w: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把</w:t>
            </w:r>
          </w:p>
        </w:tc>
      </w:tr>
      <w:tr>
        <w:tblPrEx>
          <w:shd w:val="clear"/>
          <w:tblCellMar>
            <w:top w:w="0" w:type="dxa"/>
            <w:left w:w="108" w:type="dxa"/>
            <w:bottom w:w="0" w:type="dxa"/>
            <w:right w:w="108" w:type="dxa"/>
          </w:tblCellMar>
        </w:tblPrEx>
        <w:trPr>
          <w:wAfter w:w="0" w:type="auto"/>
          <w:trHeight w:val="306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班椅</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厂标</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372110</wp:posOffset>
                  </wp:positionH>
                  <wp:positionV relativeFrom="paragraph">
                    <wp:posOffset>462915</wp:posOffset>
                  </wp:positionV>
                  <wp:extent cx="1079500" cy="1689735"/>
                  <wp:effectExtent l="0" t="0" r="6350" b="5715"/>
                  <wp:wrapNone/>
                  <wp:docPr id="36" name="图片_17"/>
                  <wp:cNvGraphicFramePr/>
                  <a:graphic xmlns:a="http://schemas.openxmlformats.org/drawingml/2006/main">
                    <a:graphicData uri="http://schemas.openxmlformats.org/drawingml/2006/picture">
                      <pic:pic xmlns:pic="http://schemas.openxmlformats.org/drawingml/2006/picture">
                        <pic:nvPicPr>
                          <pic:cNvPr id="36" name="图片_17"/>
                          <pic:cNvPicPr/>
                        </pic:nvPicPr>
                        <pic:blipFill>
                          <a:blip r:embed="rId9"/>
                          <a:stretch>
                            <a:fillRect/>
                          </a:stretch>
                        </pic:blipFill>
                        <pic:spPr>
                          <a:xfrm>
                            <a:off x="0" y="0"/>
                            <a:ext cx="1079500" cy="1689735"/>
                          </a:xfrm>
                          <a:prstGeom prst="rect">
                            <a:avLst/>
                          </a:prstGeom>
                          <a:noFill/>
                          <a:ln>
                            <a:noFill/>
                          </a:ln>
                        </pic:spPr>
                      </pic:pic>
                    </a:graphicData>
                  </a:graphic>
                </wp:anchor>
              </w:drawing>
            </w:r>
          </w:p>
        </w:tc>
        <w:tc>
          <w:tcPr>
            <w:tcW w:w="335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1、面料：采用牛皮饰面，牛皮厚薄均匀，无油腻感，革身平整、柔软、丰满有弹性；皮革涂层粘着牢度≧2.5N/10mm，气味≦3级，PH≧3.2,游离甲醛≤75mg/kg,不含铅、镉等可萃取重金属；</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2、海绵：海绵颜色均匀、无污染、无刺激性气味，回弹率≧50%，拉伸强度≧100kPa；</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3、气压棒：内芯管壁厚度≧2.0mm，金属件通过100h中性盐雾试验，耐腐蚀等级达到10级。</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4、脚架：五星电镀钢脚架。</w:t>
            </w: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把</w:t>
            </w:r>
          </w:p>
        </w:tc>
      </w:tr>
      <w:tr>
        <w:tblPrEx>
          <w:shd w:val="clear"/>
          <w:tblCellMar>
            <w:top w:w="0" w:type="dxa"/>
            <w:left w:w="108" w:type="dxa"/>
            <w:bottom w:w="0" w:type="dxa"/>
            <w:right w:w="108" w:type="dxa"/>
          </w:tblCellMar>
        </w:tblPrEx>
        <w:trPr>
          <w:wAfter w:w="0" w:type="auto"/>
          <w:trHeight w:val="132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725"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办公桌 </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1500*600、副柜800*400</w:t>
            </w:r>
          </w:p>
        </w:tc>
        <w:tc>
          <w:tcPr>
            <w:tcW w:w="3138" w:type="dxa"/>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-29845</wp:posOffset>
                  </wp:positionH>
                  <wp:positionV relativeFrom="paragraph">
                    <wp:posOffset>851535</wp:posOffset>
                  </wp:positionV>
                  <wp:extent cx="1916430" cy="1183005"/>
                  <wp:effectExtent l="0" t="0" r="7620" b="17145"/>
                  <wp:wrapNone/>
                  <wp:docPr id="12" name="图片_125"/>
                  <wp:cNvGraphicFramePr/>
                  <a:graphic xmlns:a="http://schemas.openxmlformats.org/drawingml/2006/main">
                    <a:graphicData uri="http://schemas.openxmlformats.org/drawingml/2006/picture">
                      <pic:pic xmlns:pic="http://schemas.openxmlformats.org/drawingml/2006/picture">
                        <pic:nvPicPr>
                          <pic:cNvPr id="12" name="图片_125"/>
                          <pic:cNvPicPr/>
                        </pic:nvPicPr>
                        <pic:blipFill>
                          <a:blip r:embed="rId10"/>
                          <a:stretch>
                            <a:fillRect/>
                          </a:stretch>
                        </pic:blipFill>
                        <pic:spPr>
                          <a:xfrm>
                            <a:off x="0" y="0"/>
                            <a:ext cx="1916430" cy="1183005"/>
                          </a:xfrm>
                          <a:prstGeom prst="rect">
                            <a:avLst/>
                          </a:prstGeom>
                          <a:noFill/>
                          <a:ln>
                            <a:noFill/>
                          </a:ln>
                        </pic:spPr>
                      </pic:pic>
                    </a:graphicData>
                  </a:graphic>
                </wp:anchor>
              </w:drawing>
            </w:r>
          </w:p>
        </w:tc>
        <w:tc>
          <w:tcPr>
            <w:tcW w:w="3357"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1、基材：采用优质环保三聚氰胺板，板材的各项技术指标须符合《GB/T 15102-2017 浸渍胶膜纸饰面纤维板和刨花板》的要求，甲醛释放量符合国家强制性标准《GB 18580-2017 室内装饰装修材料 人造板及其制品中甲醛释放限量》要求，板材的甲醛释放量≤0.124mg/m³，表面耐干热、耐污染腐蚀、耐龟裂、耐水蒸汽；耐光色牢度﹥4级；</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2、封边条：采用优质PVC封边条，厚度不小于2mm。全自动封边，耐干热，无龟裂、无鼓泡；耐开裂性达到1级；封边条甲醛释放量≤1.5mg/L，各指标符合《QB/T 4463-2013 家具用封边条技术要求》的要求。</w:t>
            </w: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张</w:t>
            </w:r>
          </w:p>
        </w:tc>
      </w:tr>
      <w:tr>
        <w:tblPrEx>
          <w:tblCellMar>
            <w:top w:w="0" w:type="dxa"/>
            <w:left w:w="108" w:type="dxa"/>
            <w:bottom w:w="0" w:type="dxa"/>
            <w:right w:w="108" w:type="dxa"/>
          </w:tblCellMar>
        </w:tblPrEx>
        <w:trPr>
          <w:wAfter w:w="0" w:type="auto"/>
          <w:trHeight w:val="120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kern w:val="0"/>
                <w:sz w:val="22"/>
                <w:szCs w:val="22"/>
                <w:u w:val="none"/>
                <w:lang w:val="en-US" w:eastAsia="zh-CN" w:bidi="ar"/>
              </w:rPr>
              <w:t>6</w:t>
            </w:r>
          </w:p>
        </w:tc>
        <w:tc>
          <w:tcPr>
            <w:tcW w:w="725"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隔断</w:t>
            </w:r>
          </w:p>
        </w:tc>
        <w:tc>
          <w:tcPr>
            <w:tcW w:w="3138" w:type="dxa"/>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3357"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块</w:t>
            </w:r>
          </w:p>
        </w:tc>
      </w:tr>
      <w:tr>
        <w:tblPrEx>
          <w:shd w:val="clear"/>
          <w:tblCellMar>
            <w:top w:w="0" w:type="dxa"/>
            <w:left w:w="108" w:type="dxa"/>
            <w:bottom w:w="0" w:type="dxa"/>
            <w:right w:w="108" w:type="dxa"/>
          </w:tblCellMar>
        </w:tblPrEx>
        <w:trPr>
          <w:wAfter w:w="0" w:type="auto"/>
          <w:trHeight w:val="2680" w:hRule="atLeast"/>
        </w:trPr>
        <w:tc>
          <w:tcPr>
            <w:tcW w:w="490" w:type="dxa"/>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725" w:type="dxa"/>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办公桌</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1500*600*760</w:t>
            </w:r>
          </w:p>
        </w:tc>
        <w:tc>
          <w:tcPr>
            <w:tcW w:w="3138" w:type="dxa"/>
            <w:tcBorders>
              <w:top w:val="nil"/>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wp:posOffset>
                  </wp:positionH>
                  <wp:positionV relativeFrom="paragraph">
                    <wp:posOffset>1087120</wp:posOffset>
                  </wp:positionV>
                  <wp:extent cx="1819275" cy="1209675"/>
                  <wp:effectExtent l="0" t="0" r="9525" b="9525"/>
                  <wp:wrapNone/>
                  <wp:docPr id="18" name="图片_33"/>
                  <wp:cNvGraphicFramePr/>
                  <a:graphic xmlns:a="http://schemas.openxmlformats.org/drawingml/2006/main">
                    <a:graphicData uri="http://schemas.openxmlformats.org/drawingml/2006/picture">
                      <pic:pic xmlns:pic="http://schemas.openxmlformats.org/drawingml/2006/picture">
                        <pic:nvPicPr>
                          <pic:cNvPr id="18" name="图片_33"/>
                          <pic:cNvPicPr/>
                        </pic:nvPicPr>
                        <pic:blipFill>
                          <a:blip r:embed="rId11"/>
                          <a:stretch>
                            <a:fillRect/>
                          </a:stretch>
                        </pic:blipFill>
                        <pic:spPr>
                          <a:xfrm>
                            <a:off x="0" y="0"/>
                            <a:ext cx="1819275" cy="1209675"/>
                          </a:xfrm>
                          <a:prstGeom prst="rect">
                            <a:avLst/>
                          </a:prstGeom>
                          <a:noFill/>
                          <a:ln>
                            <a:noFill/>
                          </a:ln>
                        </pic:spPr>
                      </pic:pic>
                    </a:graphicData>
                  </a:graphic>
                </wp:anchor>
              </w:drawing>
            </w:r>
          </w:p>
        </w:tc>
        <w:tc>
          <w:tcPr>
            <w:tcW w:w="335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1、基材：采用优质环保三聚氰胺板，板材的各项技术指标须符合《GB/T 15102-2017 浸渍胶膜纸饰面纤维板和刨花板》的要求，甲醛释放量符合国家强制性标准《GB 18580-2017 室内装饰装修材料 人造板及其制品中甲醛释放限量》要求，板材的甲醛释放量≤0.124mg/m³，表面耐干热、耐污染腐蚀、耐龟裂、耐水蒸汽；耐光色牢度﹥4级；</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2、封边条：采用优质PVC封边条，厚度不小于2mm。全自动封边，耐干热，无龟裂、无鼓泡；耐开裂性达到1级；封边条甲醛释放量≤1.5mg/L，各指标符合《QB/T 4463-2013 家具用封边条技术要求》的要求。</w:t>
            </w: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张</w:t>
            </w:r>
          </w:p>
        </w:tc>
      </w:tr>
      <w:tr>
        <w:tblPrEx>
          <w:shd w:val="clear"/>
          <w:tblCellMar>
            <w:top w:w="0" w:type="dxa"/>
            <w:left w:w="108" w:type="dxa"/>
            <w:bottom w:w="0" w:type="dxa"/>
            <w:right w:w="108" w:type="dxa"/>
          </w:tblCellMar>
        </w:tblPrEx>
        <w:trPr>
          <w:wAfter w:w="0" w:type="auto"/>
          <w:trHeight w:val="294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现金柜</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 1400*600</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wp:posOffset>
                  </wp:positionH>
                  <wp:positionV relativeFrom="paragraph">
                    <wp:posOffset>891540</wp:posOffset>
                  </wp:positionV>
                  <wp:extent cx="1774825" cy="1264920"/>
                  <wp:effectExtent l="0" t="0" r="15875" b="11430"/>
                  <wp:wrapNone/>
                  <wp:docPr id="30" name="图片_124"/>
                  <wp:cNvGraphicFramePr/>
                  <a:graphic xmlns:a="http://schemas.openxmlformats.org/drawingml/2006/main">
                    <a:graphicData uri="http://schemas.openxmlformats.org/drawingml/2006/picture">
                      <pic:pic xmlns:pic="http://schemas.openxmlformats.org/drawingml/2006/picture">
                        <pic:nvPicPr>
                          <pic:cNvPr id="30" name="图片_124"/>
                          <pic:cNvPicPr/>
                        </pic:nvPicPr>
                        <pic:blipFill>
                          <a:blip r:embed="rId12"/>
                          <a:stretch>
                            <a:fillRect/>
                          </a:stretch>
                        </pic:blipFill>
                        <pic:spPr>
                          <a:xfrm>
                            <a:off x="0" y="0"/>
                            <a:ext cx="1774825" cy="1264920"/>
                          </a:xfrm>
                          <a:prstGeom prst="rect">
                            <a:avLst/>
                          </a:prstGeom>
                          <a:noFill/>
                          <a:ln>
                            <a:noFill/>
                          </a:ln>
                        </pic:spPr>
                      </pic:pic>
                    </a:graphicData>
                  </a:graphic>
                </wp:anchor>
              </w:drawing>
            </w:r>
          </w:p>
        </w:tc>
        <w:tc>
          <w:tcPr>
            <w:tcW w:w="335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1、基材：采用优质环保三聚氰胺板，板材的各项技术指标须符合《GB/T 15102-2017 浸渍胶膜纸饰面纤维板和刨花板》的要求，甲醛释放量符合国家强制性标准《GB 18580-2017 室内装饰装修材料 人造板及其制品中甲醛释放限量》要求，板材的甲醛释放量≤0.124mg/m³，表面耐干热、耐污染腐蚀、耐龟裂、耐水蒸汽；耐光色牢度﹥4级；</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2、封边条：采用优质PVC封边条，厚度不小于2mm。全自动封边，耐干热，无龟裂、无鼓泡；耐开裂性达到1级；封边条甲醛释放量≤1.5mg/L，各指标符合《QB/T 4463-2013 家具用封边条技术要求》的要求。</w:t>
            </w: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张</w:t>
            </w:r>
          </w:p>
        </w:tc>
      </w:tr>
      <w:tr>
        <w:tblPrEx>
          <w:tblCellMar>
            <w:top w:w="0" w:type="dxa"/>
            <w:left w:w="108" w:type="dxa"/>
            <w:bottom w:w="0" w:type="dxa"/>
            <w:right w:w="108" w:type="dxa"/>
          </w:tblCellMar>
        </w:tblPrEx>
        <w:trPr>
          <w:wAfter w:w="0" w:type="auto"/>
          <w:trHeight w:val="360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办公桌</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1500*600副柜900*400</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wp:posOffset>
                  </wp:positionH>
                  <wp:positionV relativeFrom="paragraph">
                    <wp:posOffset>824865</wp:posOffset>
                  </wp:positionV>
                  <wp:extent cx="1785620" cy="1135380"/>
                  <wp:effectExtent l="0" t="0" r="5080" b="7620"/>
                  <wp:wrapNone/>
                  <wp:docPr id="42" name="图片_126"/>
                  <wp:cNvGraphicFramePr/>
                  <a:graphic xmlns:a="http://schemas.openxmlformats.org/drawingml/2006/main">
                    <a:graphicData uri="http://schemas.openxmlformats.org/drawingml/2006/picture">
                      <pic:pic xmlns:pic="http://schemas.openxmlformats.org/drawingml/2006/picture">
                        <pic:nvPicPr>
                          <pic:cNvPr id="42" name="图片_126"/>
                          <pic:cNvPicPr/>
                        </pic:nvPicPr>
                        <pic:blipFill>
                          <a:blip r:embed="rId13"/>
                          <a:stretch>
                            <a:fillRect/>
                          </a:stretch>
                        </pic:blipFill>
                        <pic:spPr>
                          <a:xfrm>
                            <a:off x="0" y="0"/>
                            <a:ext cx="1785620" cy="1135380"/>
                          </a:xfrm>
                          <a:prstGeom prst="rect">
                            <a:avLst/>
                          </a:prstGeom>
                          <a:noFill/>
                          <a:ln>
                            <a:noFill/>
                          </a:ln>
                        </pic:spPr>
                      </pic:pic>
                    </a:graphicData>
                  </a:graphic>
                </wp:anchor>
              </w:drawing>
            </w:r>
          </w:p>
        </w:tc>
        <w:tc>
          <w:tcPr>
            <w:tcW w:w="335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1、基材：采用优质环保三聚氰胺板，板材的各项技术指标须符合《GB/T 15102-2017 浸渍胶膜纸饰面纤维板和刨花板》的要求，甲醛释放量符合国家强制性标准《GB 18580-2017 室内装饰装修材料 人造板及其制品中甲醛释放限量》要求，板材的甲醛释放量≤0.124mg/m³，表面耐干热、耐污染腐蚀、耐龟裂、耐水蒸汽；耐光色牢度﹥4级；</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2、封边条：采用优质PVC封边条，厚度不小于2mm。全自动封边，耐干热，无龟裂、无鼓泡；耐开裂性达到1级；封边条甲醛释放量≤1.5mg/L，各指标符合《QB/T 4463-2013 家具用封边条技术要求》的要求。</w:t>
            </w: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47</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张</w:t>
            </w:r>
          </w:p>
        </w:tc>
      </w:tr>
      <w:tr>
        <w:tblPrEx>
          <w:shd w:val="clear"/>
          <w:tblCellMar>
            <w:top w:w="0" w:type="dxa"/>
            <w:left w:w="108" w:type="dxa"/>
            <w:bottom w:w="0" w:type="dxa"/>
            <w:right w:w="108" w:type="dxa"/>
          </w:tblCellMar>
        </w:tblPrEx>
        <w:trPr>
          <w:wAfter w:w="0" w:type="auto"/>
          <w:trHeight w:val="547"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办公桌</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1400*600*760</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125730</wp:posOffset>
                  </wp:positionH>
                  <wp:positionV relativeFrom="paragraph">
                    <wp:posOffset>702945</wp:posOffset>
                  </wp:positionV>
                  <wp:extent cx="1700530" cy="1090295"/>
                  <wp:effectExtent l="0" t="0" r="13970" b="14605"/>
                  <wp:wrapNone/>
                  <wp:docPr id="19" name="图片_32"/>
                  <wp:cNvGraphicFramePr/>
                  <a:graphic xmlns:a="http://schemas.openxmlformats.org/drawingml/2006/main">
                    <a:graphicData uri="http://schemas.openxmlformats.org/drawingml/2006/picture">
                      <pic:pic xmlns:pic="http://schemas.openxmlformats.org/drawingml/2006/picture">
                        <pic:nvPicPr>
                          <pic:cNvPr id="19" name="图片_32"/>
                          <pic:cNvPicPr/>
                        </pic:nvPicPr>
                        <pic:blipFill>
                          <a:blip r:embed="rId11"/>
                          <a:stretch>
                            <a:fillRect/>
                          </a:stretch>
                        </pic:blipFill>
                        <pic:spPr>
                          <a:xfrm>
                            <a:off x="0" y="0"/>
                            <a:ext cx="1700530" cy="1090295"/>
                          </a:xfrm>
                          <a:prstGeom prst="rect">
                            <a:avLst/>
                          </a:prstGeom>
                          <a:noFill/>
                          <a:ln>
                            <a:noFill/>
                          </a:ln>
                        </pic:spPr>
                      </pic:pic>
                    </a:graphicData>
                  </a:graphic>
                </wp:anchor>
              </w:drawing>
            </w:r>
          </w:p>
        </w:tc>
        <w:tc>
          <w:tcPr>
            <w:tcW w:w="335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1、基材：采用优质环保三聚氰胺板，板材的各项技术指标须符合《GB/T 15102-2017 浸渍胶膜纸饰面纤维板和刨花板》的要求，甲醛释放量符合国家强制性标准《GB 18580-2017 室内装饰装修材料 人造板及其制品中甲醛释放限量》要求，板材的甲醛释放量≤0.124mg/m³，表面耐干热、耐污染腐蚀、耐龟裂、耐水蒸汽；耐光色牢度﹥4级；</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2、封边条：采用优质PVC封边条，厚度不小于2mm。全自动封边，耐干热，无龟裂、无鼓泡；耐开裂性达到1级；封边条甲醛释放量≤1.5mg/L，各指标符合《QB/T 4463-2013 家具用封边条技术要求》的要求。</w:t>
            </w: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张</w:t>
            </w:r>
          </w:p>
        </w:tc>
      </w:tr>
      <w:tr>
        <w:tblPrEx>
          <w:shd w:val="clear"/>
          <w:tblCellMar>
            <w:top w:w="0" w:type="dxa"/>
            <w:left w:w="108" w:type="dxa"/>
            <w:bottom w:w="0" w:type="dxa"/>
            <w:right w:w="108" w:type="dxa"/>
          </w:tblCellMar>
        </w:tblPrEx>
        <w:trPr>
          <w:wAfter w:w="0" w:type="auto"/>
          <w:trHeight w:val="156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11</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办公桌</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1500*600*760     900*400</w:t>
            </w:r>
          </w:p>
        </w:tc>
        <w:tc>
          <w:tcPr>
            <w:tcW w:w="3138" w:type="dxa"/>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35560</wp:posOffset>
                  </wp:positionH>
                  <wp:positionV relativeFrom="paragraph">
                    <wp:posOffset>1046480</wp:posOffset>
                  </wp:positionV>
                  <wp:extent cx="1795780" cy="1167765"/>
                  <wp:effectExtent l="0" t="0" r="13970" b="13335"/>
                  <wp:wrapNone/>
                  <wp:docPr id="25" name="图片_120"/>
                  <wp:cNvGraphicFramePr/>
                  <a:graphic xmlns:a="http://schemas.openxmlformats.org/drawingml/2006/main">
                    <a:graphicData uri="http://schemas.openxmlformats.org/drawingml/2006/picture">
                      <pic:pic xmlns:pic="http://schemas.openxmlformats.org/drawingml/2006/picture">
                        <pic:nvPicPr>
                          <pic:cNvPr id="25" name="图片_120"/>
                          <pic:cNvPicPr/>
                        </pic:nvPicPr>
                        <pic:blipFill>
                          <a:blip r:embed="rId14"/>
                          <a:stretch>
                            <a:fillRect/>
                          </a:stretch>
                        </pic:blipFill>
                        <pic:spPr>
                          <a:xfrm>
                            <a:off x="0" y="0"/>
                            <a:ext cx="1795780" cy="1167765"/>
                          </a:xfrm>
                          <a:prstGeom prst="rect">
                            <a:avLst/>
                          </a:prstGeom>
                          <a:noFill/>
                          <a:ln>
                            <a:noFill/>
                          </a:ln>
                        </pic:spPr>
                      </pic:pic>
                    </a:graphicData>
                  </a:graphic>
                </wp:anchor>
              </w:drawing>
            </w:r>
          </w:p>
        </w:tc>
        <w:tc>
          <w:tcPr>
            <w:tcW w:w="3357"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1、基材：采用优质环保三聚氰胺板，板材的各项技术指标须符合《GB/T 15102-2017 浸渍胶膜纸饰面纤维板和刨花板》的要求，甲醛释放量符合国家强制性标准《GB 18580-2017 室内装饰装修材料 人造板及其制品中甲醛释放限量》要求，板材的甲醛释放量≤0.124mg/m³，表面耐干热、耐污染腐蚀、耐龟裂、耐水蒸汽；耐光色牢度﹥4级；</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2、封边条：采用优质PVC封边条，厚度不小于2mm。全自动封边，耐干热，无龟裂、无鼓泡；耐开裂性达到1级；封边条甲醛释放量≤1.5mg/L，各指标符合《QB/T 4463-2013 家具用封边条技术要求》的要求。</w:t>
            </w: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张</w:t>
            </w:r>
          </w:p>
        </w:tc>
      </w:tr>
      <w:tr>
        <w:tblPrEx>
          <w:shd w:val="clear"/>
          <w:tblCellMar>
            <w:top w:w="0" w:type="dxa"/>
            <w:left w:w="108" w:type="dxa"/>
            <w:bottom w:w="0" w:type="dxa"/>
            <w:right w:w="108" w:type="dxa"/>
          </w:tblCellMar>
        </w:tblPrEx>
        <w:trPr>
          <w:wAfter w:w="0" w:type="auto"/>
          <w:trHeight w:val="150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隔屏</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2000*1200*40 900*1200*40</w:t>
            </w:r>
          </w:p>
        </w:tc>
        <w:tc>
          <w:tcPr>
            <w:tcW w:w="3138" w:type="dxa"/>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3357"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r>
      <w:tr>
        <w:tblPrEx>
          <w:shd w:val="clear"/>
          <w:tblCellMar>
            <w:top w:w="0" w:type="dxa"/>
            <w:left w:w="108" w:type="dxa"/>
            <w:bottom w:w="0" w:type="dxa"/>
            <w:right w:w="108" w:type="dxa"/>
          </w:tblCellMar>
        </w:tblPrEx>
        <w:trPr>
          <w:wAfter w:w="0" w:type="auto"/>
          <w:trHeight w:val="418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13</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班前椅</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厂标</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288925</wp:posOffset>
                  </wp:positionH>
                  <wp:positionV relativeFrom="paragraph">
                    <wp:posOffset>395605</wp:posOffset>
                  </wp:positionV>
                  <wp:extent cx="1332230" cy="1751330"/>
                  <wp:effectExtent l="0" t="0" r="1270" b="1270"/>
                  <wp:wrapNone/>
                  <wp:docPr id="26" name="图片_28"/>
                  <wp:cNvGraphicFramePr/>
                  <a:graphic xmlns:a="http://schemas.openxmlformats.org/drawingml/2006/main">
                    <a:graphicData uri="http://schemas.openxmlformats.org/drawingml/2006/picture">
                      <pic:pic xmlns:pic="http://schemas.openxmlformats.org/drawingml/2006/picture">
                        <pic:nvPicPr>
                          <pic:cNvPr id="26" name="图片_28"/>
                          <pic:cNvPicPr/>
                        </pic:nvPicPr>
                        <pic:blipFill>
                          <a:blip r:embed="rId15"/>
                          <a:stretch>
                            <a:fillRect/>
                          </a:stretch>
                        </pic:blipFill>
                        <pic:spPr>
                          <a:xfrm>
                            <a:off x="0" y="0"/>
                            <a:ext cx="1332230" cy="1751330"/>
                          </a:xfrm>
                          <a:prstGeom prst="rect">
                            <a:avLst/>
                          </a:prstGeom>
                          <a:noFill/>
                          <a:ln>
                            <a:noFill/>
                          </a:ln>
                        </pic:spPr>
                      </pic:pic>
                    </a:graphicData>
                  </a:graphic>
                </wp:anchor>
              </w:drawing>
            </w:r>
          </w:p>
        </w:tc>
        <w:tc>
          <w:tcPr>
            <w:tcW w:w="335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1、面料:选用优质网面,C类甲醛含量≤300mg/kg，C类染色牢度≥3级，无异味；</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2、基材:优质含水率低12%以下的实木木方及5mm的多层夹板,经防虫、防腐等化学处理；</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3、辅料:海绵颜色均匀、无污染、无刺激性气味，回弹率≧50%，拉伸强度≧100kPa；</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4、弓形脚架。</w:t>
            </w: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把</w:t>
            </w:r>
          </w:p>
        </w:tc>
      </w:tr>
      <w:tr>
        <w:tblPrEx>
          <w:tblCellMar>
            <w:top w:w="0" w:type="dxa"/>
            <w:left w:w="108" w:type="dxa"/>
            <w:bottom w:w="0" w:type="dxa"/>
            <w:right w:w="108" w:type="dxa"/>
          </w:tblCellMar>
        </w:tblPrEx>
        <w:trPr>
          <w:wAfter w:w="0" w:type="auto"/>
          <w:trHeight w:val="4160" w:hRule="atLeast"/>
        </w:trPr>
        <w:tc>
          <w:tcPr>
            <w:tcW w:w="490" w:type="dxa"/>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FF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14</w:t>
            </w:r>
          </w:p>
        </w:tc>
        <w:tc>
          <w:tcPr>
            <w:tcW w:w="725" w:type="dxa"/>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FF0000"/>
                <w:kern w:val="0"/>
                <w:sz w:val="18"/>
                <w:szCs w:val="18"/>
                <w:u w:val="none"/>
                <w:bdr w:val="none" w:color="auto" w:sz="0" w:space="0"/>
                <w:lang w:val="en-US" w:eastAsia="zh-CN" w:bidi="ar"/>
              </w:rPr>
              <w:t>转椅</w:t>
            </w:r>
          </w:p>
        </w:tc>
        <w:tc>
          <w:tcPr>
            <w:tcW w:w="937" w:type="dxa"/>
            <w:tcBorders>
              <w:top w:val="single" w:color="000000" w:sz="8" w:space="0"/>
              <w:left w:val="nil"/>
              <w:bottom w:val="single" w:color="000000" w:sz="8" w:space="0"/>
              <w:right w:val="single" w:color="000000" w:sz="8"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FF0000"/>
                <w:kern w:val="0"/>
                <w:sz w:val="18"/>
                <w:szCs w:val="18"/>
                <w:u w:val="none"/>
                <w:bdr w:val="none" w:color="auto" w:sz="0" w:space="0"/>
                <w:lang w:val="en-US" w:eastAsia="zh-CN" w:bidi="ar"/>
              </w:rPr>
              <w:t>坐高：43.5-53.5CM，坐宽：51CM，坐深：52CM</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222885</wp:posOffset>
                  </wp:positionH>
                  <wp:positionV relativeFrom="paragraph">
                    <wp:posOffset>332105</wp:posOffset>
                  </wp:positionV>
                  <wp:extent cx="1362710" cy="1832610"/>
                  <wp:effectExtent l="0" t="0" r="8890" b="15240"/>
                  <wp:wrapNone/>
                  <wp:docPr id="15" name="图片_16"/>
                  <wp:cNvGraphicFramePr/>
                  <a:graphic xmlns:a="http://schemas.openxmlformats.org/drawingml/2006/main">
                    <a:graphicData uri="http://schemas.openxmlformats.org/drawingml/2006/picture">
                      <pic:pic xmlns:pic="http://schemas.openxmlformats.org/drawingml/2006/picture">
                        <pic:nvPicPr>
                          <pic:cNvPr id="15" name="图片_16"/>
                          <pic:cNvPicPr/>
                        </pic:nvPicPr>
                        <pic:blipFill>
                          <a:blip r:embed="rId16"/>
                          <a:stretch>
                            <a:fillRect/>
                          </a:stretch>
                        </pic:blipFill>
                        <pic:spPr>
                          <a:xfrm>
                            <a:off x="0" y="0"/>
                            <a:ext cx="1362710" cy="1832610"/>
                          </a:xfrm>
                          <a:prstGeom prst="rect">
                            <a:avLst/>
                          </a:prstGeom>
                          <a:noFill/>
                          <a:ln>
                            <a:noFill/>
                          </a:ln>
                        </pic:spPr>
                      </pic:pic>
                    </a:graphicData>
                  </a:graphic>
                </wp:anchor>
              </w:drawing>
            </w:r>
          </w:p>
        </w:tc>
        <w:tc>
          <w:tcPr>
            <w:tcW w:w="335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①椅背采用全新尼龙材料背筐，优质办公网布。既经久耐用，又透气十足。</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② 椅座为耐磨布料，40高密度高弹力原生海绵，环保，高回弹，不易变形。</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③ 使用优质PP材料设计出符合人体工程的扶手高度，确保舒适的坐姿。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④ 采用2.0厚钢板带倾仰底盘；中管2.0厚气压棒，升降次数10万。</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⑤ 脚采用优质尼龙材料，过1136KG静压测试；轮子同样采用优质尼龙材料。</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Style w:val="48"/>
                <w:bdr w:val="none" w:color="auto" w:sz="0" w:space="0"/>
                <w:lang w:val="en-US" w:eastAsia="zh-CN" w:bidi="ar"/>
              </w:rPr>
              <w:t>投标时提供转椅实物样品1把。</w:t>
            </w:r>
          </w:p>
        </w:tc>
        <w:tc>
          <w:tcPr>
            <w:tcW w:w="48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65</w:t>
            </w:r>
          </w:p>
        </w:tc>
        <w:tc>
          <w:tcPr>
            <w:tcW w:w="545"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把</w:t>
            </w:r>
          </w:p>
        </w:tc>
      </w:tr>
      <w:tr>
        <w:tblPrEx>
          <w:shd w:val="clear"/>
          <w:tblCellMar>
            <w:top w:w="0" w:type="dxa"/>
            <w:left w:w="108" w:type="dxa"/>
            <w:bottom w:w="0" w:type="dxa"/>
            <w:right w:w="108" w:type="dxa"/>
          </w:tblCellMar>
        </w:tblPrEx>
        <w:trPr>
          <w:wAfter w:w="0" w:type="auto"/>
          <w:trHeight w:val="420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钢制文件柜</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1800*900*400</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298450</wp:posOffset>
                  </wp:positionH>
                  <wp:positionV relativeFrom="paragraph">
                    <wp:posOffset>1037590</wp:posOffset>
                  </wp:positionV>
                  <wp:extent cx="1151255" cy="1605915"/>
                  <wp:effectExtent l="0" t="0" r="10795" b="13335"/>
                  <wp:wrapNone/>
                  <wp:docPr id="43" name="图片_87"/>
                  <wp:cNvGraphicFramePr/>
                  <a:graphic xmlns:a="http://schemas.openxmlformats.org/drawingml/2006/main">
                    <a:graphicData uri="http://schemas.openxmlformats.org/drawingml/2006/picture">
                      <pic:pic xmlns:pic="http://schemas.openxmlformats.org/drawingml/2006/picture">
                        <pic:nvPicPr>
                          <pic:cNvPr id="43" name="图片_87"/>
                          <pic:cNvPicPr/>
                        </pic:nvPicPr>
                        <pic:blipFill>
                          <a:blip r:embed="rId17"/>
                          <a:stretch>
                            <a:fillRect/>
                          </a:stretch>
                        </pic:blipFill>
                        <pic:spPr>
                          <a:xfrm>
                            <a:off x="0" y="0"/>
                            <a:ext cx="1151255" cy="1605915"/>
                          </a:xfrm>
                          <a:prstGeom prst="rect">
                            <a:avLst/>
                          </a:prstGeom>
                          <a:noFill/>
                          <a:ln>
                            <a:noFill/>
                          </a:ln>
                        </pic:spPr>
                      </pic:pic>
                    </a:graphicData>
                  </a:graphic>
                </wp:anchor>
              </w:drawing>
            </w:r>
          </w:p>
        </w:tc>
        <w:tc>
          <w:tcPr>
            <w:tcW w:w="335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1、主要材料采用优质冷轧钢板，抗拉强度≧275MPa，断后伸长率≧26%；钢板的耐腐蚀等级合格；</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2、材料厚度：门板、柜体≧0.7mm裸板，隔板≧0.5mm裸板，其余零部件≧0.6mm裸板；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3、喷涂材料采用热固性粉末涂料，耐湿热性、耐酸性、耐碱性、耐盐雾性试验均合格；符合《HG/T 2006-2006 热固性粉末涂料》标准要求；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4、使用滚珠轴承，抽屉开启更为省力、平滑；</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5、隔板具备可上下调节的功能，可随意根据使用情况调整上下距离；</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6、门板锁具采用具有红绿指示的锁具，能更直观反应锁具当前状态；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7、抽锁采用弹子转舌锁，弹子纯铜材质，锁具稳定平滑；</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8、钣金成型式标签框，牢固耐用。</w:t>
            </w:r>
          </w:p>
        </w:tc>
        <w:tc>
          <w:tcPr>
            <w:tcW w:w="48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71</w:t>
            </w:r>
          </w:p>
        </w:tc>
        <w:tc>
          <w:tcPr>
            <w:tcW w:w="545"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组</w:t>
            </w:r>
          </w:p>
        </w:tc>
      </w:tr>
      <w:tr>
        <w:tblPrEx>
          <w:shd w:val="clear"/>
          <w:tblCellMar>
            <w:top w:w="0" w:type="dxa"/>
            <w:left w:w="108" w:type="dxa"/>
            <w:bottom w:w="0" w:type="dxa"/>
            <w:right w:w="108" w:type="dxa"/>
          </w:tblCellMar>
        </w:tblPrEx>
        <w:trPr>
          <w:wAfter w:w="0" w:type="auto"/>
          <w:trHeight w:val="208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16</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等候区沙发</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组合类               2000*1500</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wp:posOffset>
                  </wp:positionH>
                  <wp:positionV relativeFrom="paragraph">
                    <wp:posOffset>48260</wp:posOffset>
                  </wp:positionV>
                  <wp:extent cx="1847215" cy="1189990"/>
                  <wp:effectExtent l="0" t="0" r="635" b="10160"/>
                  <wp:wrapNone/>
                  <wp:docPr id="13" name="图片_89"/>
                  <wp:cNvGraphicFramePr/>
                  <a:graphic xmlns:a="http://schemas.openxmlformats.org/drawingml/2006/main">
                    <a:graphicData uri="http://schemas.openxmlformats.org/drawingml/2006/picture">
                      <pic:pic xmlns:pic="http://schemas.openxmlformats.org/drawingml/2006/picture">
                        <pic:nvPicPr>
                          <pic:cNvPr id="13" name="图片_89"/>
                          <pic:cNvPicPr/>
                        </pic:nvPicPr>
                        <pic:blipFill>
                          <a:blip r:embed="rId18"/>
                          <a:stretch>
                            <a:fillRect/>
                          </a:stretch>
                        </pic:blipFill>
                        <pic:spPr>
                          <a:xfrm>
                            <a:off x="0" y="0"/>
                            <a:ext cx="1847215" cy="1189990"/>
                          </a:xfrm>
                          <a:prstGeom prst="rect">
                            <a:avLst/>
                          </a:prstGeom>
                          <a:noFill/>
                          <a:ln>
                            <a:noFill/>
                          </a:ln>
                        </pic:spPr>
                      </pic:pic>
                    </a:graphicData>
                  </a:graphic>
                </wp:anchor>
              </w:drawing>
            </w:r>
          </w:p>
        </w:tc>
        <w:tc>
          <w:tcPr>
            <w:tcW w:w="335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框架采用烤漆工艺、优质超纤皮 。</w:t>
            </w:r>
          </w:p>
        </w:tc>
        <w:tc>
          <w:tcPr>
            <w:tcW w:w="48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545"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组</w:t>
            </w:r>
          </w:p>
        </w:tc>
      </w:tr>
      <w:tr>
        <w:tblPrEx>
          <w:shd w:val="clear"/>
          <w:tblCellMar>
            <w:top w:w="0" w:type="dxa"/>
            <w:left w:w="108" w:type="dxa"/>
            <w:bottom w:w="0" w:type="dxa"/>
            <w:right w:w="108" w:type="dxa"/>
          </w:tblCellMar>
        </w:tblPrEx>
        <w:trPr>
          <w:wAfter w:w="0" w:type="auto"/>
          <w:trHeight w:val="198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17</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等候区沙发</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1+1+3</w:t>
            </w:r>
          </w:p>
        </w:tc>
        <w:tc>
          <w:tcPr>
            <w:tcW w:w="3138" w:type="dxa"/>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wp:posOffset>
                  </wp:positionH>
                  <wp:positionV relativeFrom="paragraph">
                    <wp:posOffset>409575</wp:posOffset>
                  </wp:positionV>
                  <wp:extent cx="1734185" cy="1278255"/>
                  <wp:effectExtent l="0" t="0" r="18415" b="17145"/>
                  <wp:wrapNone/>
                  <wp:docPr id="28" name="图片_90"/>
                  <wp:cNvGraphicFramePr/>
                  <a:graphic xmlns:a="http://schemas.openxmlformats.org/drawingml/2006/main">
                    <a:graphicData uri="http://schemas.openxmlformats.org/drawingml/2006/picture">
                      <pic:pic xmlns:pic="http://schemas.openxmlformats.org/drawingml/2006/picture">
                        <pic:nvPicPr>
                          <pic:cNvPr id="28" name="图片_90"/>
                          <pic:cNvPicPr/>
                        </pic:nvPicPr>
                        <pic:blipFill>
                          <a:blip r:embed="rId19"/>
                          <a:stretch>
                            <a:fillRect/>
                          </a:stretch>
                        </pic:blipFill>
                        <pic:spPr>
                          <a:xfrm>
                            <a:off x="0" y="0"/>
                            <a:ext cx="1734185" cy="1278255"/>
                          </a:xfrm>
                          <a:prstGeom prst="rect">
                            <a:avLst/>
                          </a:prstGeom>
                          <a:noFill/>
                          <a:ln>
                            <a:noFill/>
                          </a:ln>
                        </pic:spPr>
                      </pic:pic>
                    </a:graphicData>
                  </a:graphic>
                </wp:anchor>
              </w:drawing>
            </w:r>
          </w:p>
        </w:tc>
        <w:tc>
          <w:tcPr>
            <w:tcW w:w="3357" w:type="dxa"/>
            <w:vMerge w:val="restart"/>
            <w:tcBorders>
              <w:top w:val="single" w:color="000000" w:sz="4" w:space="0"/>
              <w:left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不锈钢框架、优质超纤皮或布艺。</w:t>
            </w: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组</w:t>
            </w:r>
          </w:p>
        </w:tc>
      </w:tr>
      <w:tr>
        <w:tblPrEx>
          <w:shd w:val="clear"/>
          <w:tblCellMar>
            <w:top w:w="0" w:type="dxa"/>
            <w:left w:w="108" w:type="dxa"/>
            <w:bottom w:w="0" w:type="dxa"/>
            <w:right w:w="108" w:type="dxa"/>
          </w:tblCellMar>
        </w:tblPrEx>
        <w:trPr>
          <w:wAfter w:w="0" w:type="auto"/>
          <w:trHeight w:val="1680" w:hRule="atLeast"/>
        </w:trPr>
        <w:tc>
          <w:tcPr>
            <w:tcW w:w="4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18</w:t>
            </w:r>
          </w:p>
        </w:tc>
        <w:tc>
          <w:tcPr>
            <w:tcW w:w="72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茶几</w:t>
            </w:r>
          </w:p>
        </w:tc>
        <w:tc>
          <w:tcPr>
            <w:tcW w:w="93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1200*400*450</w:t>
            </w:r>
          </w:p>
        </w:tc>
        <w:tc>
          <w:tcPr>
            <w:tcW w:w="3138" w:type="dxa"/>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3357" w:type="dxa"/>
            <w:vMerge w:val="continue"/>
            <w:tcBorders>
              <w:left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张</w:t>
            </w:r>
          </w:p>
        </w:tc>
      </w:tr>
      <w:tr>
        <w:tblPrEx>
          <w:shd w:val="clear"/>
          <w:tblCellMar>
            <w:top w:w="0" w:type="dxa"/>
            <w:left w:w="108" w:type="dxa"/>
            <w:bottom w:w="0" w:type="dxa"/>
            <w:right w:w="108" w:type="dxa"/>
          </w:tblCellMar>
        </w:tblPrEx>
        <w:trPr>
          <w:wAfter w:w="0" w:type="auto"/>
          <w:trHeight w:val="178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19</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引导台</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2500*600*760</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53975</wp:posOffset>
                  </wp:positionH>
                  <wp:positionV relativeFrom="paragraph">
                    <wp:posOffset>118745</wp:posOffset>
                  </wp:positionV>
                  <wp:extent cx="1600200" cy="906145"/>
                  <wp:effectExtent l="0" t="0" r="0" b="8255"/>
                  <wp:wrapNone/>
                  <wp:docPr id="24" name="图片_123"/>
                  <wp:cNvGraphicFramePr/>
                  <a:graphic xmlns:a="http://schemas.openxmlformats.org/drawingml/2006/main">
                    <a:graphicData uri="http://schemas.openxmlformats.org/drawingml/2006/picture">
                      <pic:pic xmlns:pic="http://schemas.openxmlformats.org/drawingml/2006/picture">
                        <pic:nvPicPr>
                          <pic:cNvPr id="24" name="图片_123"/>
                          <pic:cNvPicPr/>
                        </pic:nvPicPr>
                        <pic:blipFill>
                          <a:blip r:embed="rId20"/>
                          <a:stretch>
                            <a:fillRect/>
                          </a:stretch>
                        </pic:blipFill>
                        <pic:spPr>
                          <a:xfrm>
                            <a:off x="0" y="0"/>
                            <a:ext cx="1600200" cy="906145"/>
                          </a:xfrm>
                          <a:prstGeom prst="rect">
                            <a:avLst/>
                          </a:prstGeom>
                          <a:noFill/>
                          <a:ln>
                            <a:noFill/>
                          </a:ln>
                        </pic:spPr>
                      </pic:pic>
                    </a:graphicData>
                  </a:graphic>
                </wp:anchor>
              </w:drawing>
            </w:r>
          </w:p>
        </w:tc>
        <w:tc>
          <w:tcPr>
            <w:tcW w:w="335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1、烤漆工艺；</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2、基材：采用E1级中密度纤维板，密度0.65～0.80g/cm3，含水率3.0～13.0%，甲醛释放限量≤0.124mg/m³。</w:t>
            </w: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r>
      <w:tr>
        <w:tblPrEx>
          <w:shd w:val="clear"/>
          <w:tblCellMar>
            <w:top w:w="0" w:type="dxa"/>
            <w:left w:w="108" w:type="dxa"/>
            <w:bottom w:w="0" w:type="dxa"/>
            <w:right w:w="108" w:type="dxa"/>
          </w:tblCellMar>
        </w:tblPrEx>
        <w:trPr>
          <w:wAfter w:w="0" w:type="auto"/>
          <w:trHeight w:val="282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20</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会议桌</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2400*900*760</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wp:posOffset>
                  </wp:positionH>
                  <wp:positionV relativeFrom="paragraph">
                    <wp:posOffset>861060</wp:posOffset>
                  </wp:positionV>
                  <wp:extent cx="1885315" cy="1186180"/>
                  <wp:effectExtent l="0" t="0" r="635" b="13970"/>
                  <wp:wrapNone/>
                  <wp:docPr id="39" name="图片_143"/>
                  <wp:cNvGraphicFramePr/>
                  <a:graphic xmlns:a="http://schemas.openxmlformats.org/drawingml/2006/main">
                    <a:graphicData uri="http://schemas.openxmlformats.org/drawingml/2006/picture">
                      <pic:pic xmlns:pic="http://schemas.openxmlformats.org/drawingml/2006/picture">
                        <pic:nvPicPr>
                          <pic:cNvPr id="39" name="图片_143"/>
                          <pic:cNvPicPr/>
                        </pic:nvPicPr>
                        <pic:blipFill>
                          <a:blip r:embed="rId21"/>
                          <a:stretch>
                            <a:fillRect/>
                          </a:stretch>
                        </pic:blipFill>
                        <pic:spPr>
                          <a:xfrm>
                            <a:off x="0" y="0"/>
                            <a:ext cx="1885315" cy="1186180"/>
                          </a:xfrm>
                          <a:prstGeom prst="rect">
                            <a:avLst/>
                          </a:prstGeom>
                          <a:noFill/>
                          <a:ln>
                            <a:noFill/>
                          </a:ln>
                        </pic:spPr>
                      </pic:pic>
                    </a:graphicData>
                  </a:graphic>
                </wp:anchor>
              </w:drawing>
            </w:r>
          </w:p>
        </w:tc>
        <w:tc>
          <w:tcPr>
            <w:tcW w:w="335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1、基材：采用优质环保三聚氰胺板，板材的各项技术指标须符合《GB/T 15102-2017 浸渍胶膜纸饰面纤维板和刨花板》的要求，甲醛释放量符合国家强制性标准《GB 18580-2017 室内装饰装修材料 人造板及其制品中甲醛释放限量》要求，板材的甲醛释放量≤0.124mg/m³，表面耐干热、耐污染腐蚀、耐龟裂、耐水蒸汽；耐光色牢度﹥4级；</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2、封边条：采用优质PVC封边条，厚度不小于2mm。全自动封边，耐干热，无龟裂、无鼓泡；耐开裂性达到1级；封边条甲醛释放量≤1.5mg/L，各指标符合《QB/T 4463-2013 家具用封边条技术要求》的要求。</w:t>
            </w: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米</w:t>
            </w:r>
          </w:p>
        </w:tc>
      </w:tr>
      <w:tr>
        <w:tblPrEx>
          <w:shd w:val="clear"/>
          <w:tblCellMar>
            <w:top w:w="0" w:type="dxa"/>
            <w:left w:w="108" w:type="dxa"/>
            <w:bottom w:w="0" w:type="dxa"/>
            <w:right w:w="108" w:type="dxa"/>
          </w:tblCellMar>
        </w:tblPrEx>
        <w:trPr>
          <w:wAfter w:w="0" w:type="auto"/>
          <w:trHeight w:val="346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21</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会议椅</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厂标</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231775</wp:posOffset>
                  </wp:positionH>
                  <wp:positionV relativeFrom="paragraph">
                    <wp:posOffset>258445</wp:posOffset>
                  </wp:positionV>
                  <wp:extent cx="1441450" cy="1714500"/>
                  <wp:effectExtent l="0" t="0" r="6350" b="0"/>
                  <wp:wrapNone/>
                  <wp:docPr id="40" name="Picture_1"/>
                  <wp:cNvGraphicFramePr/>
                  <a:graphic xmlns:a="http://schemas.openxmlformats.org/drawingml/2006/main">
                    <a:graphicData uri="http://schemas.openxmlformats.org/drawingml/2006/picture">
                      <pic:pic xmlns:pic="http://schemas.openxmlformats.org/drawingml/2006/picture">
                        <pic:nvPicPr>
                          <pic:cNvPr id="40" name="Picture_1"/>
                          <pic:cNvPicPr/>
                        </pic:nvPicPr>
                        <pic:blipFill>
                          <a:blip r:embed="rId22"/>
                          <a:stretch>
                            <a:fillRect/>
                          </a:stretch>
                        </pic:blipFill>
                        <pic:spPr>
                          <a:xfrm>
                            <a:off x="0" y="0"/>
                            <a:ext cx="1441450" cy="1714500"/>
                          </a:xfrm>
                          <a:prstGeom prst="rect">
                            <a:avLst/>
                          </a:prstGeom>
                          <a:noFill/>
                          <a:ln>
                            <a:noFill/>
                          </a:ln>
                        </pic:spPr>
                      </pic:pic>
                    </a:graphicData>
                  </a:graphic>
                </wp:anchor>
              </w:drawing>
            </w:r>
          </w:p>
        </w:tc>
        <w:tc>
          <w:tcPr>
            <w:tcW w:w="335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1、面料：采用牛皮饰面，牛皮厚薄均匀，无油腻感，革身平整、柔软、丰满有弹性；皮革涂层粘着牢度≧2.5N/10mm，气味≦3级，PH≧3.2,游离甲醛≤75mg/kg,不含铅、镉等可萃取重金属；</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2、海绵：海绵颜色均匀、无污染、无刺激性气味，回弹率≧50%，拉伸强度≧100kPa；</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3、脚架：弓形脚架。</w:t>
            </w: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把</w:t>
            </w:r>
          </w:p>
        </w:tc>
      </w:tr>
      <w:tr>
        <w:tblPrEx>
          <w:tblCellMar>
            <w:top w:w="0" w:type="dxa"/>
            <w:left w:w="108" w:type="dxa"/>
            <w:bottom w:w="0" w:type="dxa"/>
            <w:right w:w="108" w:type="dxa"/>
          </w:tblCellMar>
        </w:tblPrEx>
        <w:trPr>
          <w:wAfter w:w="0" w:type="auto"/>
          <w:trHeight w:val="180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22</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茶几</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1200*600*450</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67310</wp:posOffset>
                  </wp:positionV>
                  <wp:extent cx="1814830" cy="1001395"/>
                  <wp:effectExtent l="0" t="0" r="13970" b="8255"/>
                  <wp:wrapNone/>
                  <wp:docPr id="44" name="图片_121"/>
                  <wp:cNvGraphicFramePr/>
                  <a:graphic xmlns:a="http://schemas.openxmlformats.org/drawingml/2006/main">
                    <a:graphicData uri="http://schemas.openxmlformats.org/drawingml/2006/picture">
                      <pic:pic xmlns:pic="http://schemas.openxmlformats.org/drawingml/2006/picture">
                        <pic:nvPicPr>
                          <pic:cNvPr id="44" name="图片_121"/>
                          <pic:cNvPicPr/>
                        </pic:nvPicPr>
                        <pic:blipFill>
                          <a:blip r:embed="rId23"/>
                          <a:stretch>
                            <a:fillRect/>
                          </a:stretch>
                        </pic:blipFill>
                        <pic:spPr>
                          <a:xfrm>
                            <a:off x="0" y="0"/>
                            <a:ext cx="1814830" cy="1001395"/>
                          </a:xfrm>
                          <a:prstGeom prst="rect">
                            <a:avLst/>
                          </a:prstGeom>
                          <a:noFill/>
                          <a:ln>
                            <a:noFill/>
                          </a:ln>
                        </pic:spPr>
                      </pic:pic>
                    </a:graphicData>
                  </a:graphic>
                </wp:anchor>
              </w:drawing>
            </w:r>
          </w:p>
        </w:tc>
        <w:tc>
          <w:tcPr>
            <w:tcW w:w="3357"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1、基材：采用优质环保三聚氰胺板，板材的各项技术指标须符合《GB/T 15102-2017 浸渍胶膜纸饰面纤维板和刨花板》的要求，甲醛释放量符合国家强制性标准《GB 18580-2017 室内装饰装修材料 人造板及其制品中甲醛释放限量》要求，板材的甲醛释放量≤0.124mg/m³，表面耐干热、耐污染腐蚀、耐龟裂、耐水蒸汽；耐光色牢度﹥4级；</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2、封边条：采用优质PVC封边条，厚度不小于2mm。全自动封边，耐干热，无龟裂、无鼓泡；耐开裂性达到1级；封边条甲醛释放量≤1.5mg/L，各指标符合《QB/T 4463-2013 家具用封边条技术要求》的要求；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3、脚架：优质电镀脚架，承载力强，不易生锈。</w:t>
            </w: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张</w:t>
            </w:r>
          </w:p>
        </w:tc>
      </w:tr>
      <w:tr>
        <w:tblPrEx>
          <w:tblCellMar>
            <w:top w:w="0" w:type="dxa"/>
            <w:left w:w="108" w:type="dxa"/>
            <w:bottom w:w="0" w:type="dxa"/>
            <w:right w:w="108" w:type="dxa"/>
          </w:tblCellMar>
        </w:tblPrEx>
        <w:trPr>
          <w:wAfter w:w="0" w:type="auto"/>
          <w:trHeight w:val="218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23</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茶几</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600*400*450</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wp:posOffset>
                  </wp:positionH>
                  <wp:positionV relativeFrom="paragraph">
                    <wp:posOffset>591820</wp:posOffset>
                  </wp:positionV>
                  <wp:extent cx="1609725" cy="1108710"/>
                  <wp:effectExtent l="0" t="0" r="9525" b="15240"/>
                  <wp:wrapNone/>
                  <wp:docPr id="20" name="图片_129"/>
                  <wp:cNvGraphicFramePr/>
                  <a:graphic xmlns:a="http://schemas.openxmlformats.org/drawingml/2006/main">
                    <a:graphicData uri="http://schemas.openxmlformats.org/drawingml/2006/picture">
                      <pic:pic xmlns:pic="http://schemas.openxmlformats.org/drawingml/2006/picture">
                        <pic:nvPicPr>
                          <pic:cNvPr id="20" name="图片_129"/>
                          <pic:cNvPicPr/>
                        </pic:nvPicPr>
                        <pic:blipFill>
                          <a:blip r:embed="rId24"/>
                          <a:stretch>
                            <a:fillRect/>
                          </a:stretch>
                        </pic:blipFill>
                        <pic:spPr>
                          <a:xfrm>
                            <a:off x="0" y="0"/>
                            <a:ext cx="1609725" cy="1108710"/>
                          </a:xfrm>
                          <a:prstGeom prst="rect">
                            <a:avLst/>
                          </a:prstGeom>
                          <a:noFill/>
                          <a:ln>
                            <a:noFill/>
                          </a:ln>
                        </pic:spPr>
                      </pic:pic>
                    </a:graphicData>
                  </a:graphic>
                </wp:anchor>
              </w:drawing>
            </w:r>
          </w:p>
        </w:tc>
        <w:tc>
          <w:tcPr>
            <w:tcW w:w="3357"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张</w:t>
            </w:r>
          </w:p>
        </w:tc>
      </w:tr>
      <w:tr>
        <w:tblPrEx>
          <w:shd w:val="clear"/>
          <w:tblCellMar>
            <w:top w:w="0" w:type="dxa"/>
            <w:left w:w="108" w:type="dxa"/>
            <w:bottom w:w="0" w:type="dxa"/>
            <w:right w:w="108" w:type="dxa"/>
          </w:tblCellMar>
        </w:tblPrEx>
        <w:trPr>
          <w:wAfter w:w="0" w:type="auto"/>
          <w:trHeight w:val="166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24</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沙发</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三人位</w:t>
            </w:r>
          </w:p>
        </w:tc>
        <w:tc>
          <w:tcPr>
            <w:tcW w:w="3138" w:type="dxa"/>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618490</wp:posOffset>
                  </wp:positionV>
                  <wp:extent cx="1860550" cy="1033780"/>
                  <wp:effectExtent l="0" t="0" r="6350" b="13970"/>
                  <wp:wrapNone/>
                  <wp:docPr id="21" name="图片_14"/>
                  <wp:cNvGraphicFramePr/>
                  <a:graphic xmlns:a="http://schemas.openxmlformats.org/drawingml/2006/main">
                    <a:graphicData uri="http://schemas.openxmlformats.org/drawingml/2006/picture">
                      <pic:pic xmlns:pic="http://schemas.openxmlformats.org/drawingml/2006/picture">
                        <pic:nvPicPr>
                          <pic:cNvPr id="21" name="图片_14"/>
                          <pic:cNvPicPr/>
                        </pic:nvPicPr>
                        <pic:blipFill>
                          <a:blip r:embed="rId25"/>
                          <a:stretch>
                            <a:fillRect/>
                          </a:stretch>
                        </pic:blipFill>
                        <pic:spPr>
                          <a:xfrm>
                            <a:off x="0" y="0"/>
                            <a:ext cx="1860550" cy="1033780"/>
                          </a:xfrm>
                          <a:prstGeom prst="rect">
                            <a:avLst/>
                          </a:prstGeom>
                          <a:noFill/>
                          <a:ln>
                            <a:noFill/>
                          </a:ln>
                        </pic:spPr>
                      </pic:pic>
                    </a:graphicData>
                  </a:graphic>
                </wp:anchor>
              </w:drawing>
            </w:r>
          </w:p>
        </w:tc>
        <w:tc>
          <w:tcPr>
            <w:tcW w:w="3357"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1、面  料：优质韩皮饰面，耐拉扯、耐刮痕，纹理清晰防水，柔软耐磨；</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2、海　棉：颜色均匀、无污染、无刺激性气味，回弹率≧50%，拉伸强度≧100kPa；</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3、内框架：实木框架，木材经干燥、防虫、防腐处理，木材全干密度≧0.50g/cm³，含水率低于16%；甲醛释放量≤1.5mg/L，符合《GB 18584-2001 室内装饰装修材料 木家具中有害物质限量》标准要求；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4、打  底：优质蛇簧和尼龙绷带穿插纺织打底，与泡棉之间加耐磨衬面，座面蛇簧四条、靠背蛇簧三条；</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5、脚架：优质电镀脚架，承载力强，不易生锈。</w:t>
            </w: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r>
      <w:tr>
        <w:tblPrEx>
          <w:shd w:val="clear"/>
          <w:tblCellMar>
            <w:top w:w="0" w:type="dxa"/>
            <w:left w:w="108" w:type="dxa"/>
            <w:bottom w:w="0" w:type="dxa"/>
            <w:right w:w="108" w:type="dxa"/>
          </w:tblCellMar>
        </w:tblPrEx>
        <w:trPr>
          <w:wAfter w:w="0" w:type="auto"/>
          <w:trHeight w:val="186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25</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沙发</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单人位</w:t>
            </w:r>
          </w:p>
        </w:tc>
        <w:tc>
          <w:tcPr>
            <w:tcW w:w="3138" w:type="dxa"/>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3357"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r>
      <w:tr>
        <w:tblPrEx>
          <w:shd w:val="clear"/>
          <w:tblCellMar>
            <w:top w:w="0" w:type="dxa"/>
            <w:left w:w="108" w:type="dxa"/>
            <w:bottom w:w="0" w:type="dxa"/>
            <w:right w:w="108" w:type="dxa"/>
          </w:tblCellMar>
        </w:tblPrEx>
        <w:trPr>
          <w:wAfter w:w="0" w:type="auto"/>
          <w:trHeight w:val="2120" w:hRule="atLeast"/>
        </w:trPr>
        <w:tc>
          <w:tcPr>
            <w:tcW w:w="49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FF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26</w:t>
            </w:r>
          </w:p>
        </w:tc>
        <w:tc>
          <w:tcPr>
            <w:tcW w:w="725"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FF0000"/>
                <w:kern w:val="0"/>
                <w:sz w:val="18"/>
                <w:szCs w:val="18"/>
                <w:u w:val="none"/>
                <w:bdr w:val="none" w:color="auto" w:sz="0" w:space="0"/>
                <w:lang w:val="en-US" w:eastAsia="zh-CN" w:bidi="ar"/>
              </w:rPr>
              <w:t>手动无轨密集架4*11</w:t>
            </w:r>
          </w:p>
        </w:tc>
        <w:tc>
          <w:tcPr>
            <w:tcW w:w="937" w:type="dxa"/>
            <w:tcBorders>
              <w:top w:val="single" w:color="000000" w:sz="8" w:space="0"/>
              <w:left w:val="nil"/>
              <w:bottom w:val="single" w:color="000000" w:sz="8" w:space="0"/>
              <w:right w:val="single" w:color="000000" w:sz="8"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FF0000"/>
                <w:kern w:val="0"/>
                <w:sz w:val="18"/>
                <w:szCs w:val="18"/>
                <w:u w:val="none"/>
                <w:bdr w:val="none" w:color="auto" w:sz="0" w:space="0"/>
                <w:lang w:val="en-US" w:eastAsia="zh-CN" w:bidi="ar"/>
              </w:rPr>
              <w:t>1000*600*2500</w:t>
            </w:r>
          </w:p>
        </w:tc>
        <w:tc>
          <w:tcPr>
            <w:tcW w:w="3138" w:type="dxa"/>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wp:posOffset>
                  </wp:positionH>
                  <wp:positionV relativeFrom="paragraph">
                    <wp:posOffset>727075</wp:posOffset>
                  </wp:positionV>
                  <wp:extent cx="1868805" cy="995680"/>
                  <wp:effectExtent l="0" t="0" r="17145" b="13970"/>
                  <wp:wrapNone/>
                  <wp:docPr id="29" name="图片_94"/>
                  <wp:cNvGraphicFramePr/>
                  <a:graphic xmlns:a="http://schemas.openxmlformats.org/drawingml/2006/main">
                    <a:graphicData uri="http://schemas.openxmlformats.org/drawingml/2006/picture">
                      <pic:pic xmlns:pic="http://schemas.openxmlformats.org/drawingml/2006/picture">
                        <pic:nvPicPr>
                          <pic:cNvPr id="29" name="图片_94"/>
                          <pic:cNvPicPr/>
                        </pic:nvPicPr>
                        <pic:blipFill>
                          <a:blip r:embed="rId26"/>
                          <a:stretch>
                            <a:fillRect/>
                          </a:stretch>
                        </pic:blipFill>
                        <pic:spPr>
                          <a:xfrm>
                            <a:off x="0" y="0"/>
                            <a:ext cx="1868805" cy="995680"/>
                          </a:xfrm>
                          <a:prstGeom prst="rect">
                            <a:avLst/>
                          </a:prstGeom>
                          <a:noFill/>
                          <a:ln>
                            <a:noFill/>
                          </a:ln>
                        </pic:spPr>
                      </pic:pic>
                    </a:graphicData>
                  </a:graphic>
                </wp:anchor>
              </w:drawing>
            </w:r>
          </w:p>
        </w:tc>
        <w:tc>
          <w:tcPr>
            <w:tcW w:w="3357"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FF0000"/>
                <w:kern w:val="0"/>
                <w:sz w:val="18"/>
                <w:szCs w:val="18"/>
                <w:u w:val="none"/>
                <w:bdr w:val="none" w:color="auto" w:sz="0" w:space="0"/>
                <w:lang w:val="en-US" w:eastAsia="zh-CN" w:bidi="ar"/>
              </w:rPr>
              <w:t>材质要求详见附件一</w:t>
            </w: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44</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组</w:t>
            </w:r>
          </w:p>
        </w:tc>
      </w:tr>
      <w:tr>
        <w:tblPrEx>
          <w:shd w:val="clear"/>
          <w:tblCellMar>
            <w:top w:w="0" w:type="dxa"/>
            <w:left w:w="108" w:type="dxa"/>
            <w:bottom w:w="0" w:type="dxa"/>
            <w:right w:w="108" w:type="dxa"/>
          </w:tblCellMar>
        </w:tblPrEx>
        <w:trPr>
          <w:wAfter w:w="0" w:type="auto"/>
          <w:trHeight w:val="1720" w:hRule="atLeast"/>
        </w:trPr>
        <w:tc>
          <w:tcPr>
            <w:tcW w:w="490" w:type="dxa"/>
            <w:tcBorders>
              <w:top w:val="nil"/>
              <w:left w:val="single" w:color="000000" w:sz="8" w:space="0"/>
              <w:bottom w:val="single" w:color="000000" w:sz="8" w:space="0"/>
              <w:right w:val="single" w:color="000000" w:sz="8"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FF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27</w:t>
            </w:r>
          </w:p>
        </w:tc>
        <w:tc>
          <w:tcPr>
            <w:tcW w:w="725" w:type="dxa"/>
            <w:tcBorders>
              <w:top w:val="nil"/>
              <w:left w:val="single" w:color="000000" w:sz="8" w:space="0"/>
              <w:bottom w:val="single" w:color="000000" w:sz="8" w:space="0"/>
              <w:right w:val="single" w:color="000000" w:sz="8"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none" w:color="auto" w:sz="0" w:space="0"/>
                <w:lang w:val="en-US" w:eastAsia="zh-CN" w:bidi="ar"/>
                <w14:textFill>
                  <w14:solidFill>
                    <w14:schemeClr w14:val="tx1"/>
                  </w14:solidFill>
                </w14:textFill>
              </w:rPr>
              <w:t>手动无轨密集架4*4</w:t>
            </w:r>
          </w:p>
        </w:tc>
        <w:tc>
          <w:tcPr>
            <w:tcW w:w="937" w:type="dxa"/>
            <w:tcBorders>
              <w:top w:val="nil"/>
              <w:left w:val="nil"/>
              <w:bottom w:val="single" w:color="000000" w:sz="8" w:space="0"/>
              <w:right w:val="single" w:color="000000" w:sz="8"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none" w:color="auto" w:sz="0" w:space="0"/>
                <w:lang w:val="en-US" w:eastAsia="zh-CN" w:bidi="ar"/>
                <w14:textFill>
                  <w14:solidFill>
                    <w14:schemeClr w14:val="tx1"/>
                  </w14:solidFill>
                </w14:textFill>
              </w:rPr>
              <w:t>1000*600*2500</w:t>
            </w:r>
          </w:p>
        </w:tc>
        <w:tc>
          <w:tcPr>
            <w:tcW w:w="3138" w:type="dxa"/>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3357"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FF0000"/>
                <w:sz w:val="18"/>
                <w:szCs w:val="18"/>
                <w:u w:val="none"/>
              </w:rPr>
            </w:pP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组</w:t>
            </w:r>
          </w:p>
        </w:tc>
      </w:tr>
      <w:tr>
        <w:tblPrEx>
          <w:tblCellMar>
            <w:top w:w="0" w:type="dxa"/>
            <w:left w:w="108" w:type="dxa"/>
            <w:bottom w:w="0" w:type="dxa"/>
            <w:right w:w="108" w:type="dxa"/>
          </w:tblCellMar>
        </w:tblPrEx>
        <w:trPr>
          <w:wAfter w:w="0" w:type="auto"/>
          <w:trHeight w:val="240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28</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书梯</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厂标</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497840</wp:posOffset>
                  </wp:positionH>
                  <wp:positionV relativeFrom="paragraph">
                    <wp:posOffset>852805</wp:posOffset>
                  </wp:positionV>
                  <wp:extent cx="926465" cy="1054100"/>
                  <wp:effectExtent l="0" t="0" r="6985" b="12700"/>
                  <wp:wrapNone/>
                  <wp:docPr id="14" name="图片_22"/>
                  <wp:cNvGraphicFramePr/>
                  <a:graphic xmlns:a="http://schemas.openxmlformats.org/drawingml/2006/main">
                    <a:graphicData uri="http://schemas.openxmlformats.org/drawingml/2006/picture">
                      <pic:pic xmlns:pic="http://schemas.openxmlformats.org/drawingml/2006/picture">
                        <pic:nvPicPr>
                          <pic:cNvPr id="14" name="图片_22"/>
                          <pic:cNvPicPr/>
                        </pic:nvPicPr>
                        <pic:blipFill>
                          <a:blip r:embed="rId27"/>
                          <a:stretch>
                            <a:fillRect/>
                          </a:stretch>
                        </pic:blipFill>
                        <pic:spPr>
                          <a:xfrm>
                            <a:off x="0" y="0"/>
                            <a:ext cx="926465" cy="1054100"/>
                          </a:xfrm>
                          <a:prstGeom prst="rect">
                            <a:avLst/>
                          </a:prstGeom>
                          <a:noFill/>
                          <a:ln>
                            <a:noFill/>
                          </a:ln>
                        </pic:spPr>
                      </pic:pic>
                    </a:graphicData>
                  </a:graphic>
                </wp:anchor>
              </w:drawing>
            </w:r>
          </w:p>
        </w:tc>
        <w:tc>
          <w:tcPr>
            <w:tcW w:w="335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基材：采用冷轧钢板，抗拉强度275～410MPa，断后伸长率≧24%；涂层和履面层中的铅、镉、铬、汞等可溶性重金属检测合格；金属喷漆（塑）涂层硬度≧H，附着力不低于2级，500h中性盐雾试验不低于8级，符合《GB/T 3325-2017 金属家具通用技术条件》及《GB/T 13237-2013 优质碳素结构钢冷轧钢板和钢带》标准要求；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2、喷涂：采用热固性粉末涂料，杯突≧4mm，耐碱、耐酸、耐湿热、耐老化、耐腐蚀，可溶性铅、镉、铬、汞等重金属含量检测合格，金属喷漆（塑）涂层硬度≧H，附着力不低于2级，符合《HG/T 2006-2006 热固性粉末涂料》标准要求。</w:t>
            </w: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r>
      <w:tr>
        <w:tblPrEx>
          <w:shd w:val="clear"/>
          <w:tblCellMar>
            <w:top w:w="0" w:type="dxa"/>
            <w:left w:w="108" w:type="dxa"/>
            <w:bottom w:w="0" w:type="dxa"/>
            <w:right w:w="108" w:type="dxa"/>
          </w:tblCellMar>
        </w:tblPrEx>
        <w:trPr>
          <w:wAfter w:w="0" w:type="auto"/>
          <w:trHeight w:val="212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29</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主席台</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5600*700*780</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wp:posOffset>
                  </wp:positionH>
                  <wp:positionV relativeFrom="paragraph">
                    <wp:posOffset>291465</wp:posOffset>
                  </wp:positionV>
                  <wp:extent cx="1872615" cy="819150"/>
                  <wp:effectExtent l="0" t="0" r="13335" b="0"/>
                  <wp:wrapNone/>
                  <wp:docPr id="27" name="图片_63"/>
                  <wp:cNvGraphicFramePr/>
                  <a:graphic xmlns:a="http://schemas.openxmlformats.org/drawingml/2006/main">
                    <a:graphicData uri="http://schemas.openxmlformats.org/drawingml/2006/picture">
                      <pic:pic xmlns:pic="http://schemas.openxmlformats.org/drawingml/2006/picture">
                        <pic:nvPicPr>
                          <pic:cNvPr id="27" name="图片_63"/>
                          <pic:cNvPicPr/>
                        </pic:nvPicPr>
                        <pic:blipFill>
                          <a:blip r:embed="rId28"/>
                          <a:stretch>
                            <a:fillRect/>
                          </a:stretch>
                        </pic:blipFill>
                        <pic:spPr>
                          <a:xfrm>
                            <a:off x="0" y="0"/>
                            <a:ext cx="1872615" cy="819150"/>
                          </a:xfrm>
                          <a:prstGeom prst="rect">
                            <a:avLst/>
                          </a:prstGeom>
                          <a:noFill/>
                          <a:ln>
                            <a:noFill/>
                          </a:ln>
                        </pic:spPr>
                      </pic:pic>
                    </a:graphicData>
                  </a:graphic>
                </wp:anchor>
              </w:drawing>
            </w:r>
          </w:p>
        </w:tc>
        <w:tc>
          <w:tcPr>
            <w:tcW w:w="3357"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基材：采用E1级中密度纤维板，密度0.65～0.80g/cm³,,含水率3.0～13.0%，产品的静曲强度、弹性模量、内结合强度、吸水厚度膨胀率、表面胶合强度等物理力学性能及防潮性能检测合格，甲醛释放限量≤0.124mg/m³；板材符合《GB/T 11718-2009 中密度纤维板》和《GB 18580-2017 室内装饰装修材料 人造板及其制品中甲醛释放限量》标准要求；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2、饰面：木皮饰面，含水率8～16%，木皮花纹排列一致，木质色泽柔和，纹理清晰，结构紧密，不易变形，符合《GB/T 13010-2006 刨切单板》标准要求；甲醛释放限量≤0.124mg/m³；符合《GB 18580-2017 室内装饰装修材料 人造板及其制品中甲醛释放限量》标准要求；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油漆：采用水性油漆（涂料），挥发性有机化合物（VOC）含量≤300g/L，苯系物含量（苯、甲苯、乙苯和二甲苯总和）≤300mg/kg，游离甲醛含量≤100mg/kg，铅、镉、铬、汞等可溶性重金属含量（限色漆、腻子、和醇酸清漆）≤60mg/kg，硬度（擦伤）≥B，油漆耐碱、耐醇、耐污染、耐干热，符合《GB 24410-2009 室内装饰装修材料水性木器涂料中有害物质限量》和《GB/T 23999-2009室内装饰装修用水性木器涂料》标准要求；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4、优质五金配件。</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FF0000"/>
                <w:kern w:val="0"/>
                <w:sz w:val="18"/>
                <w:szCs w:val="18"/>
                <w:u w:val="none"/>
                <w:bdr w:val="none" w:color="auto" w:sz="0" w:space="0"/>
                <w:lang w:val="en-US" w:eastAsia="zh-CN" w:bidi="ar"/>
              </w:rPr>
              <w:t>投标时提供条形会议桌实物样品1张</w:t>
            </w: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5.6</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米</w:t>
            </w:r>
          </w:p>
        </w:tc>
      </w:tr>
      <w:tr>
        <w:tblPrEx>
          <w:shd w:val="clear"/>
          <w:tblCellMar>
            <w:top w:w="0" w:type="dxa"/>
            <w:left w:w="108" w:type="dxa"/>
            <w:bottom w:w="0" w:type="dxa"/>
            <w:right w:w="108" w:type="dxa"/>
          </w:tblCellMar>
        </w:tblPrEx>
        <w:trPr>
          <w:wAfter w:w="0" w:type="auto"/>
          <w:trHeight w:val="2140" w:hRule="atLeast"/>
        </w:trPr>
        <w:tc>
          <w:tcPr>
            <w:tcW w:w="490"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FF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30</w:t>
            </w:r>
          </w:p>
        </w:tc>
        <w:tc>
          <w:tcPr>
            <w:tcW w:w="725" w:type="dxa"/>
            <w:tcBorders>
              <w:top w:val="single" w:color="000000" w:sz="8" w:space="0"/>
              <w:left w:val="single" w:color="000000" w:sz="8" w:space="0"/>
              <w:bottom w:val="single" w:color="000000" w:sz="8" w:space="0"/>
              <w:right w:val="single" w:color="000000" w:sz="8"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FF0000"/>
                <w:kern w:val="0"/>
                <w:sz w:val="18"/>
                <w:szCs w:val="18"/>
                <w:u w:val="none"/>
                <w:bdr w:val="none" w:color="auto" w:sz="0" w:space="0"/>
                <w:lang w:val="en-US" w:eastAsia="zh-CN" w:bidi="ar"/>
              </w:rPr>
              <w:t>条形会议桌</w:t>
            </w:r>
          </w:p>
        </w:tc>
        <w:tc>
          <w:tcPr>
            <w:tcW w:w="937" w:type="dxa"/>
            <w:tcBorders>
              <w:top w:val="single" w:color="000000" w:sz="8" w:space="0"/>
              <w:left w:val="nil"/>
              <w:bottom w:val="single" w:color="000000" w:sz="8" w:space="0"/>
              <w:right w:val="single" w:color="000000" w:sz="8"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FF0000"/>
                <w:kern w:val="0"/>
                <w:sz w:val="18"/>
                <w:szCs w:val="18"/>
                <w:u w:val="none"/>
                <w:bdr w:val="none" w:color="auto" w:sz="0" w:space="0"/>
                <w:lang w:val="en-US" w:eastAsia="zh-CN" w:bidi="ar"/>
              </w:rPr>
              <w:t>1180*400*760</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194945</wp:posOffset>
                  </wp:positionH>
                  <wp:positionV relativeFrom="paragraph">
                    <wp:posOffset>193040</wp:posOffset>
                  </wp:positionV>
                  <wp:extent cx="1410335" cy="1054735"/>
                  <wp:effectExtent l="0" t="0" r="18415" b="12065"/>
                  <wp:wrapNone/>
                  <wp:docPr id="16" name="图片_71"/>
                  <wp:cNvGraphicFramePr/>
                  <a:graphic xmlns:a="http://schemas.openxmlformats.org/drawingml/2006/main">
                    <a:graphicData uri="http://schemas.openxmlformats.org/drawingml/2006/picture">
                      <pic:pic xmlns:pic="http://schemas.openxmlformats.org/drawingml/2006/picture">
                        <pic:nvPicPr>
                          <pic:cNvPr id="16" name="图片_71"/>
                          <pic:cNvPicPr/>
                        </pic:nvPicPr>
                        <pic:blipFill>
                          <a:blip r:embed="rId29"/>
                          <a:stretch>
                            <a:fillRect/>
                          </a:stretch>
                        </pic:blipFill>
                        <pic:spPr>
                          <a:xfrm>
                            <a:off x="0" y="0"/>
                            <a:ext cx="1410335" cy="1054735"/>
                          </a:xfrm>
                          <a:prstGeom prst="rect">
                            <a:avLst/>
                          </a:prstGeom>
                          <a:noFill/>
                          <a:ln>
                            <a:noFill/>
                          </a:ln>
                        </pic:spPr>
                      </pic:pic>
                    </a:graphicData>
                  </a:graphic>
                </wp:anchor>
              </w:drawing>
            </w:r>
          </w:p>
        </w:tc>
        <w:tc>
          <w:tcPr>
            <w:tcW w:w="3357"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张</w:t>
            </w:r>
          </w:p>
        </w:tc>
      </w:tr>
      <w:tr>
        <w:tblPrEx>
          <w:tblCellMar>
            <w:top w:w="0" w:type="dxa"/>
            <w:left w:w="108" w:type="dxa"/>
            <w:bottom w:w="0" w:type="dxa"/>
            <w:right w:w="108" w:type="dxa"/>
          </w:tblCellMar>
        </w:tblPrEx>
        <w:trPr>
          <w:wAfter w:w="0" w:type="auto"/>
          <w:trHeight w:val="272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31</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演讲台</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760*580*1150</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113665</wp:posOffset>
                  </wp:positionH>
                  <wp:positionV relativeFrom="paragraph">
                    <wp:posOffset>1170940</wp:posOffset>
                  </wp:positionV>
                  <wp:extent cx="1483360" cy="1080135"/>
                  <wp:effectExtent l="0" t="0" r="2540" b="5715"/>
                  <wp:wrapNone/>
                  <wp:docPr id="37" name="图片_13"/>
                  <wp:cNvGraphicFramePr/>
                  <a:graphic xmlns:a="http://schemas.openxmlformats.org/drawingml/2006/main">
                    <a:graphicData uri="http://schemas.openxmlformats.org/drawingml/2006/picture">
                      <pic:pic xmlns:pic="http://schemas.openxmlformats.org/drawingml/2006/picture">
                        <pic:nvPicPr>
                          <pic:cNvPr id="37" name="图片_13"/>
                          <pic:cNvPicPr/>
                        </pic:nvPicPr>
                        <pic:blipFill>
                          <a:blip r:embed="rId30"/>
                          <a:stretch>
                            <a:fillRect/>
                          </a:stretch>
                        </pic:blipFill>
                        <pic:spPr>
                          <a:xfrm>
                            <a:off x="0" y="0"/>
                            <a:ext cx="1483360" cy="1080135"/>
                          </a:xfrm>
                          <a:prstGeom prst="rect">
                            <a:avLst/>
                          </a:prstGeom>
                          <a:noFill/>
                          <a:ln>
                            <a:noFill/>
                          </a:ln>
                        </pic:spPr>
                      </pic:pic>
                    </a:graphicData>
                  </a:graphic>
                </wp:anchor>
              </w:drawing>
            </w:r>
          </w:p>
        </w:tc>
        <w:tc>
          <w:tcPr>
            <w:tcW w:w="3357"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r>
      <w:tr>
        <w:tblPrEx>
          <w:shd w:val="clear"/>
          <w:tblCellMar>
            <w:top w:w="0" w:type="dxa"/>
            <w:left w:w="108" w:type="dxa"/>
            <w:bottom w:w="0" w:type="dxa"/>
            <w:right w:w="108" w:type="dxa"/>
          </w:tblCellMar>
        </w:tblPrEx>
        <w:trPr>
          <w:wAfter w:w="0" w:type="auto"/>
          <w:trHeight w:val="955"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32</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主席椅</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厂标</w:t>
            </w:r>
          </w:p>
        </w:tc>
        <w:tc>
          <w:tcPr>
            <w:tcW w:w="313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451485</wp:posOffset>
                  </wp:positionH>
                  <wp:positionV relativeFrom="paragraph">
                    <wp:posOffset>708025</wp:posOffset>
                  </wp:positionV>
                  <wp:extent cx="860425" cy="1203325"/>
                  <wp:effectExtent l="0" t="0" r="15875" b="15875"/>
                  <wp:wrapNone/>
                  <wp:docPr id="38" name="图片_22_SpCnt_1"/>
                  <wp:cNvGraphicFramePr/>
                  <a:graphic xmlns:a="http://schemas.openxmlformats.org/drawingml/2006/main">
                    <a:graphicData uri="http://schemas.openxmlformats.org/drawingml/2006/picture">
                      <pic:pic xmlns:pic="http://schemas.openxmlformats.org/drawingml/2006/picture">
                        <pic:nvPicPr>
                          <pic:cNvPr id="38" name="图片_22_SpCnt_1"/>
                          <pic:cNvPicPr/>
                        </pic:nvPicPr>
                        <pic:blipFill>
                          <a:blip r:embed="rId31"/>
                          <a:stretch>
                            <a:fillRect/>
                          </a:stretch>
                        </pic:blipFill>
                        <pic:spPr>
                          <a:xfrm>
                            <a:off x="0" y="0"/>
                            <a:ext cx="860425" cy="1203325"/>
                          </a:xfrm>
                          <a:prstGeom prst="rect">
                            <a:avLst/>
                          </a:prstGeom>
                          <a:noFill/>
                          <a:ln>
                            <a:noFill/>
                          </a:ln>
                        </pic:spPr>
                      </pic:pic>
                    </a:graphicData>
                  </a:graphic>
                </wp:anchor>
              </w:drawing>
            </w:r>
          </w:p>
        </w:tc>
        <w:tc>
          <w:tcPr>
            <w:tcW w:w="335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1、框架：实木框架，木材经干燥、防虫、防腐处理，木材全干密度≧0.50g/cm³，含水率低于16%；甲醛释放量≤1.5mg/L；</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2、饰面：采用牛皮饰面，牛皮厚薄均匀，无油腻感，革身平整、柔软、丰满有弹性；皮革涂层粘着牢度≧2.5N/10mm，气味≦3级，PH≧3.2,游离甲醛≤75mg/kg,不含铅、镉等可萃取重金属；</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3、海绵：海绵颜色均匀、无污染、无刺激性气味，回弹率≧50%，拉伸强度≧100kPa；</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4、油漆：采用水性油漆（涂料），挥发性有机化合物（VOC）含量≤300g/L，苯系物含量（苯、甲苯、乙苯和二甲苯总和）≤300mg/kg，游离甲醛含量≤100mg/kg。</w:t>
            </w:r>
          </w:p>
        </w:tc>
        <w:tc>
          <w:tcPr>
            <w:tcW w:w="49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把</w:t>
            </w:r>
          </w:p>
        </w:tc>
      </w:tr>
      <w:tr>
        <w:tblPrEx>
          <w:shd w:val="clear"/>
          <w:tblCellMar>
            <w:top w:w="0" w:type="dxa"/>
            <w:left w:w="108" w:type="dxa"/>
            <w:bottom w:w="0" w:type="dxa"/>
            <w:right w:w="108" w:type="dxa"/>
          </w:tblCellMar>
        </w:tblPrEx>
        <w:trPr>
          <w:wAfter w:w="0" w:type="auto"/>
          <w:trHeight w:val="268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33</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下席会议椅</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厂标</w:t>
            </w:r>
          </w:p>
        </w:tc>
        <w:tc>
          <w:tcPr>
            <w:tcW w:w="313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641985</wp:posOffset>
                  </wp:positionH>
                  <wp:positionV relativeFrom="paragraph">
                    <wp:posOffset>482600</wp:posOffset>
                  </wp:positionV>
                  <wp:extent cx="934085" cy="1160780"/>
                  <wp:effectExtent l="0" t="0" r="18415" b="1270"/>
                  <wp:wrapNone/>
                  <wp:docPr id="32" name="Picture_2748"/>
                  <wp:cNvGraphicFramePr/>
                  <a:graphic xmlns:a="http://schemas.openxmlformats.org/drawingml/2006/main">
                    <a:graphicData uri="http://schemas.openxmlformats.org/drawingml/2006/picture">
                      <pic:pic xmlns:pic="http://schemas.openxmlformats.org/drawingml/2006/picture">
                        <pic:nvPicPr>
                          <pic:cNvPr id="32" name="Picture_2748"/>
                          <pic:cNvPicPr/>
                        </pic:nvPicPr>
                        <pic:blipFill>
                          <a:blip r:embed="rId32"/>
                          <a:stretch>
                            <a:fillRect/>
                          </a:stretch>
                        </pic:blipFill>
                        <pic:spPr>
                          <a:xfrm>
                            <a:off x="0" y="0"/>
                            <a:ext cx="934085" cy="1160780"/>
                          </a:xfrm>
                          <a:prstGeom prst="rect">
                            <a:avLst/>
                          </a:prstGeom>
                          <a:noFill/>
                          <a:ln>
                            <a:noFill/>
                          </a:ln>
                        </pic:spPr>
                      </pic:pic>
                    </a:graphicData>
                  </a:graphic>
                </wp:anchor>
              </w:drawing>
            </w:r>
          </w:p>
        </w:tc>
        <w:tc>
          <w:tcPr>
            <w:tcW w:w="335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1、框架：实木框架，木材经干燥、防虫、防腐处理，木材全干密度≧0.50g/cm³，含水率低于16%；甲醛释放量≤1.5mg/L；</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2、饰面：优质韩皮饰面，耐拉扯、耐刮痕，纹理清晰防水，柔软耐磨；</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3、海绵：海绵颜色均匀、无污染、无刺激性气味，回弹率≧50%，拉伸强度≧100kPa；</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4、油漆：采用水性油漆（涂料），挥发性有机化合物（VOC）含量≤300g/L，苯系物含量（苯、甲苯、乙苯和二甲苯总和）≤300mg/kg，游离甲醛含量≤100mg/kg。</w:t>
            </w: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70</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把</w:t>
            </w:r>
          </w:p>
        </w:tc>
      </w:tr>
      <w:tr>
        <w:tblPrEx>
          <w:tblCellMar>
            <w:top w:w="0" w:type="dxa"/>
            <w:left w:w="108" w:type="dxa"/>
            <w:bottom w:w="0" w:type="dxa"/>
            <w:right w:w="108" w:type="dxa"/>
          </w:tblCellMar>
        </w:tblPrEx>
        <w:trPr>
          <w:wAfter w:w="0" w:type="auto"/>
          <w:trHeight w:val="278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34</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会议桌</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5000*1800*760</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wp:posOffset>
                  </wp:positionH>
                  <wp:positionV relativeFrom="paragraph">
                    <wp:posOffset>301625</wp:posOffset>
                  </wp:positionV>
                  <wp:extent cx="1861185" cy="883285"/>
                  <wp:effectExtent l="0" t="0" r="5715" b="12065"/>
                  <wp:wrapNone/>
                  <wp:docPr id="17" name="图片_68"/>
                  <wp:cNvGraphicFramePr/>
                  <a:graphic xmlns:a="http://schemas.openxmlformats.org/drawingml/2006/main">
                    <a:graphicData uri="http://schemas.openxmlformats.org/drawingml/2006/picture">
                      <pic:pic xmlns:pic="http://schemas.openxmlformats.org/drawingml/2006/picture">
                        <pic:nvPicPr>
                          <pic:cNvPr id="17" name="图片_68"/>
                          <pic:cNvPicPr/>
                        </pic:nvPicPr>
                        <pic:blipFill>
                          <a:blip r:embed="rId33"/>
                          <a:stretch>
                            <a:fillRect/>
                          </a:stretch>
                        </pic:blipFill>
                        <pic:spPr>
                          <a:xfrm>
                            <a:off x="0" y="0"/>
                            <a:ext cx="1861185" cy="883285"/>
                          </a:xfrm>
                          <a:prstGeom prst="rect">
                            <a:avLst/>
                          </a:prstGeom>
                          <a:noFill/>
                          <a:ln>
                            <a:noFill/>
                          </a:ln>
                        </pic:spPr>
                      </pic:pic>
                    </a:graphicData>
                  </a:graphic>
                </wp:anchor>
              </w:drawing>
            </w:r>
          </w:p>
        </w:tc>
        <w:tc>
          <w:tcPr>
            <w:tcW w:w="3357"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基材：采用E1级中密度纤维板，密度0.65～0.80g/cm³,,含水率3.0～13.0%，产品的静曲强度、弹性模量、内结合强度、吸水厚度膨胀率、表面胶合强度等物理力学性能及防潮性能检测合格，甲醛释放限量≤0.124mg/m³；板材符合《GB/T 11718-2009 中密度纤维板》和《GB 18580-2017 室内装饰装修材料 人造板及其制品中甲醛释放限量》标准要求；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2、饰面：木皮饰面，含水率8～16%，木皮花纹排列一致，木质色泽柔和，纹理清晰，结构紧密，不易变形，符合《GB/T 13010-2006 刨切单板》标准要求；甲醛释放限量≤0.124mg/m³；符合《GB 18580-2017 室内装饰装修材料 人造板及其制品中甲醛释放限量》标准要求；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油漆：采用水性油漆（涂料），挥发性有机化合物（VOC）含量≤300g/L，苯系物含量（苯、甲苯、乙苯和二甲苯总和）≤300mg/kg，游离甲醛含量≤100mg/kg，铅、镉、铬、汞等可溶性重金属含量（限色漆、腻子、和醇酸清漆）≤60mg/kg，硬度（擦伤）≥B，油漆耐碱、耐醇、耐污染、耐干热，符合《GB 24410-2009 室内装饰装修材料水性木器涂料中有害物质限量》和《GB/T 23999-2009室内装饰装修用水性木器涂料》标准要求；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4、优质五金配件。</w:t>
            </w:r>
          </w:p>
        </w:tc>
        <w:tc>
          <w:tcPr>
            <w:tcW w:w="48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545"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米</w:t>
            </w:r>
          </w:p>
        </w:tc>
      </w:tr>
      <w:tr>
        <w:tblPrEx>
          <w:shd w:val="clear"/>
          <w:tblCellMar>
            <w:top w:w="0" w:type="dxa"/>
            <w:left w:w="108" w:type="dxa"/>
            <w:bottom w:w="0" w:type="dxa"/>
            <w:right w:w="108" w:type="dxa"/>
          </w:tblCellMar>
        </w:tblPrEx>
        <w:trPr>
          <w:wAfter w:w="0" w:type="auto"/>
          <w:trHeight w:val="9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35</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会议桌</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4800*1800*760</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wp:posOffset>
                  </wp:positionH>
                  <wp:positionV relativeFrom="paragraph">
                    <wp:posOffset>833120</wp:posOffset>
                  </wp:positionV>
                  <wp:extent cx="1847850" cy="731520"/>
                  <wp:effectExtent l="0" t="0" r="0" b="11430"/>
                  <wp:wrapNone/>
                  <wp:docPr id="22" name="图片_69"/>
                  <wp:cNvGraphicFramePr/>
                  <a:graphic xmlns:a="http://schemas.openxmlformats.org/drawingml/2006/main">
                    <a:graphicData uri="http://schemas.openxmlformats.org/drawingml/2006/picture">
                      <pic:pic xmlns:pic="http://schemas.openxmlformats.org/drawingml/2006/picture">
                        <pic:nvPicPr>
                          <pic:cNvPr id="22" name="图片_69"/>
                          <pic:cNvPicPr/>
                        </pic:nvPicPr>
                        <pic:blipFill>
                          <a:blip r:embed="rId34"/>
                          <a:stretch>
                            <a:fillRect/>
                          </a:stretch>
                        </pic:blipFill>
                        <pic:spPr>
                          <a:xfrm>
                            <a:off x="0" y="0"/>
                            <a:ext cx="1847850" cy="731520"/>
                          </a:xfrm>
                          <a:prstGeom prst="rect">
                            <a:avLst/>
                          </a:prstGeom>
                          <a:noFill/>
                          <a:ln>
                            <a:noFill/>
                          </a:ln>
                        </pic:spPr>
                      </pic:pic>
                    </a:graphicData>
                  </a:graphic>
                </wp:anchor>
              </w:drawing>
            </w:r>
          </w:p>
        </w:tc>
        <w:tc>
          <w:tcPr>
            <w:tcW w:w="3357"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4.8</w:t>
            </w:r>
          </w:p>
        </w:tc>
        <w:tc>
          <w:tcPr>
            <w:tcW w:w="545"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米</w:t>
            </w:r>
          </w:p>
        </w:tc>
      </w:tr>
      <w:tr>
        <w:tblPrEx>
          <w:tblCellMar>
            <w:top w:w="0" w:type="dxa"/>
            <w:left w:w="108" w:type="dxa"/>
            <w:bottom w:w="0" w:type="dxa"/>
            <w:right w:w="108" w:type="dxa"/>
          </w:tblCellMar>
        </w:tblPrEx>
        <w:trPr>
          <w:wAfter w:w="0" w:type="auto"/>
          <w:trHeight w:val="292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36</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会议椅</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厂标</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269875</wp:posOffset>
                  </wp:positionH>
                  <wp:positionV relativeFrom="paragraph">
                    <wp:posOffset>808355</wp:posOffset>
                  </wp:positionV>
                  <wp:extent cx="1304925" cy="1680210"/>
                  <wp:effectExtent l="0" t="0" r="9525" b="15240"/>
                  <wp:wrapNone/>
                  <wp:docPr id="31" name="图片_74"/>
                  <wp:cNvGraphicFramePr/>
                  <a:graphic xmlns:a="http://schemas.openxmlformats.org/drawingml/2006/main">
                    <a:graphicData uri="http://schemas.openxmlformats.org/drawingml/2006/picture">
                      <pic:pic xmlns:pic="http://schemas.openxmlformats.org/drawingml/2006/picture">
                        <pic:nvPicPr>
                          <pic:cNvPr id="31" name="图片_74"/>
                          <pic:cNvPicPr/>
                        </pic:nvPicPr>
                        <pic:blipFill>
                          <a:blip r:embed="rId35"/>
                          <a:stretch>
                            <a:fillRect/>
                          </a:stretch>
                        </pic:blipFill>
                        <pic:spPr>
                          <a:xfrm>
                            <a:off x="0" y="0"/>
                            <a:ext cx="1304925" cy="1680210"/>
                          </a:xfrm>
                          <a:prstGeom prst="rect">
                            <a:avLst/>
                          </a:prstGeom>
                          <a:noFill/>
                          <a:ln>
                            <a:noFill/>
                          </a:ln>
                        </pic:spPr>
                      </pic:pic>
                    </a:graphicData>
                  </a:graphic>
                </wp:anchor>
              </w:drawing>
            </w:r>
          </w:p>
        </w:tc>
        <w:tc>
          <w:tcPr>
            <w:tcW w:w="335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1、框架：实木框架，木材经干燥、防虫、防腐处理，木材全干密度≧0.50g/cm³，含水率低于16%；甲醛释放量≤1.5mg/L；</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2、饰面：采用牛皮饰面，牛皮厚薄均匀，无油腻感，革身平整、柔软、丰满有弹性；皮革涂层粘着牢度≧2.5N/10mm，气味≦3级，PH≧3.2,游离甲醛≤75mg/kg,不含铅、镉等可萃取重金属；</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3、海绵：海绵颜色均匀、无污染、无刺激性气味，回弹率≧50%，拉伸强度≧100kPa；</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4、油漆：采用水性油漆（涂料），挥发性有机化合物（VOC）含量≤300g/L，苯系物含量（苯、甲苯、乙苯和二甲苯总和）≤300mg/kg，游离甲醛含量≤100mg/kg。</w:t>
            </w:r>
          </w:p>
        </w:tc>
        <w:tc>
          <w:tcPr>
            <w:tcW w:w="48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w:t>
            </w:r>
          </w:p>
        </w:tc>
        <w:tc>
          <w:tcPr>
            <w:tcW w:w="545"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把</w:t>
            </w:r>
          </w:p>
        </w:tc>
      </w:tr>
      <w:tr>
        <w:tblPrEx>
          <w:shd w:val="clear"/>
          <w:tblCellMar>
            <w:top w:w="0" w:type="dxa"/>
            <w:left w:w="108" w:type="dxa"/>
            <w:bottom w:w="0" w:type="dxa"/>
            <w:right w:w="108" w:type="dxa"/>
          </w:tblCellMar>
        </w:tblPrEx>
        <w:trPr>
          <w:wAfter w:w="0" w:type="auto"/>
          <w:trHeight w:val="356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37</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班台</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2800*1150*760</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16510</wp:posOffset>
                  </wp:positionH>
                  <wp:positionV relativeFrom="paragraph">
                    <wp:posOffset>187325</wp:posOffset>
                  </wp:positionV>
                  <wp:extent cx="1833245" cy="1503045"/>
                  <wp:effectExtent l="0" t="0" r="14605" b="1905"/>
                  <wp:wrapNone/>
                  <wp:docPr id="33" name="图片_67"/>
                  <wp:cNvGraphicFramePr/>
                  <a:graphic xmlns:a="http://schemas.openxmlformats.org/drawingml/2006/main">
                    <a:graphicData uri="http://schemas.openxmlformats.org/drawingml/2006/picture">
                      <pic:pic xmlns:pic="http://schemas.openxmlformats.org/drawingml/2006/picture">
                        <pic:nvPicPr>
                          <pic:cNvPr id="33" name="图片_67"/>
                          <pic:cNvPicPr/>
                        </pic:nvPicPr>
                        <pic:blipFill>
                          <a:blip r:embed="rId36"/>
                          <a:stretch>
                            <a:fillRect/>
                          </a:stretch>
                        </pic:blipFill>
                        <pic:spPr>
                          <a:xfrm>
                            <a:off x="0" y="0"/>
                            <a:ext cx="1833245" cy="1503045"/>
                          </a:xfrm>
                          <a:prstGeom prst="rect">
                            <a:avLst/>
                          </a:prstGeom>
                          <a:noFill/>
                          <a:ln>
                            <a:noFill/>
                          </a:ln>
                        </pic:spPr>
                      </pic:pic>
                    </a:graphicData>
                  </a:graphic>
                </wp:anchor>
              </w:drawing>
            </w:r>
          </w:p>
        </w:tc>
        <w:tc>
          <w:tcPr>
            <w:tcW w:w="3357" w:type="dxa"/>
            <w:vMerge w:val="restart"/>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基材：采用E1级中密度纤维板，密度0.65～0.80g/cm³,,含水率3.0～13.0%，产品的静曲强度、弹性模量、内结合强度、吸水厚度膨胀率、表面胶合强度等物理力学性能及防潮性能检测合格，甲醛释放限量≤0.124mg/m³；板材符合《GB/T 11718-2009 中密度纤维板》和《GB 18580-2017 室内装饰装修材料 人造板及其制品中甲醛释放限量》标准要求；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2、饰面：木皮饰面，含水率8～16%，木皮花纹排列一致，木质色泽柔和，纹理清晰，结构紧密，不易变形，符合《GB/T 13010-2006 刨切单板》标准要求；甲醛释放限量≤0.124mg/m³；符合《GB 18580-2017 室内装饰装修材料 人造板及其制品中甲醛释放限量》标准要求；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油漆：采用水性油漆（涂料），挥发性有机化合物（VOC）含量≤300g/L，苯系物含量（苯、甲苯、乙苯和二甲苯总和）≤300mg/kg，游离甲醛含量≤100mg/kg，铅、镉、铬、汞等可溶性重金属含量（限色漆、腻子、和醇酸清漆）≤60mg/kg，硬度（擦伤）≥B，油漆耐碱、耐醇、耐污染、耐干热，符合《GB 24410-2009 室内装饰装修材料水性木器涂料中有害物质限量》和《GB/T 23999-2009室内装饰装修用水性木器涂料》标准要求；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4、优质五金配件。</w:t>
            </w: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张</w:t>
            </w:r>
          </w:p>
        </w:tc>
      </w:tr>
      <w:tr>
        <w:tblPrEx>
          <w:shd w:val="clear"/>
          <w:tblCellMar>
            <w:top w:w="0" w:type="dxa"/>
            <w:left w:w="108" w:type="dxa"/>
            <w:bottom w:w="0" w:type="dxa"/>
            <w:right w:w="108" w:type="dxa"/>
          </w:tblCellMar>
        </w:tblPrEx>
        <w:trPr>
          <w:wAfter w:w="0" w:type="auto"/>
          <w:trHeight w:val="1445"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38</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班台</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2400*1100*760</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977265</wp:posOffset>
                  </wp:positionV>
                  <wp:extent cx="1878965" cy="1287780"/>
                  <wp:effectExtent l="0" t="0" r="6985" b="7620"/>
                  <wp:wrapNone/>
                  <wp:docPr id="34" name="图片_78"/>
                  <wp:cNvGraphicFramePr/>
                  <a:graphic xmlns:a="http://schemas.openxmlformats.org/drawingml/2006/main">
                    <a:graphicData uri="http://schemas.openxmlformats.org/drawingml/2006/picture">
                      <pic:pic xmlns:pic="http://schemas.openxmlformats.org/drawingml/2006/picture">
                        <pic:nvPicPr>
                          <pic:cNvPr id="34" name="图片_78"/>
                          <pic:cNvPicPr/>
                        </pic:nvPicPr>
                        <pic:blipFill>
                          <a:blip r:embed="rId37"/>
                          <a:stretch>
                            <a:fillRect/>
                          </a:stretch>
                        </pic:blipFill>
                        <pic:spPr>
                          <a:xfrm>
                            <a:off x="0" y="0"/>
                            <a:ext cx="1878965" cy="1287780"/>
                          </a:xfrm>
                          <a:prstGeom prst="rect">
                            <a:avLst/>
                          </a:prstGeom>
                          <a:noFill/>
                          <a:ln>
                            <a:noFill/>
                          </a:ln>
                        </pic:spPr>
                      </pic:pic>
                    </a:graphicData>
                  </a:graphic>
                </wp:anchor>
              </w:drawing>
            </w:r>
          </w:p>
        </w:tc>
        <w:tc>
          <w:tcPr>
            <w:tcW w:w="3357" w:type="dxa"/>
            <w:vMerge w:val="continue"/>
            <w:tcBorders>
              <w:top w:val="single" w:color="000000" w:sz="4" w:space="0"/>
              <w:left w:val="single" w:color="000000" w:sz="4" w:space="0"/>
              <w:bottom w:val="nil"/>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张</w:t>
            </w:r>
          </w:p>
        </w:tc>
      </w:tr>
      <w:tr>
        <w:tblPrEx>
          <w:tblCellMar>
            <w:top w:w="0" w:type="dxa"/>
            <w:left w:w="108" w:type="dxa"/>
            <w:bottom w:w="0" w:type="dxa"/>
            <w:right w:w="108" w:type="dxa"/>
          </w:tblCellMar>
        </w:tblPrEx>
        <w:trPr>
          <w:wAfter w:w="0" w:type="auto"/>
          <w:trHeight w:val="332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39</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7门书柜</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3150*2000*400</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wp:posOffset>
                  </wp:positionH>
                  <wp:positionV relativeFrom="paragraph">
                    <wp:posOffset>241935</wp:posOffset>
                  </wp:positionV>
                  <wp:extent cx="1892300" cy="1329055"/>
                  <wp:effectExtent l="0" t="0" r="12700" b="4445"/>
                  <wp:wrapNone/>
                  <wp:docPr id="35" name="图片_102"/>
                  <wp:cNvGraphicFramePr/>
                  <a:graphic xmlns:a="http://schemas.openxmlformats.org/drawingml/2006/main">
                    <a:graphicData uri="http://schemas.openxmlformats.org/drawingml/2006/picture">
                      <pic:pic xmlns:pic="http://schemas.openxmlformats.org/drawingml/2006/picture">
                        <pic:nvPicPr>
                          <pic:cNvPr id="35" name="图片_102"/>
                          <pic:cNvPicPr/>
                        </pic:nvPicPr>
                        <pic:blipFill>
                          <a:blip r:embed="rId38"/>
                          <a:stretch>
                            <a:fillRect/>
                          </a:stretch>
                        </pic:blipFill>
                        <pic:spPr>
                          <a:xfrm>
                            <a:off x="0" y="0"/>
                            <a:ext cx="1892300" cy="1329055"/>
                          </a:xfrm>
                          <a:prstGeom prst="rect">
                            <a:avLst/>
                          </a:prstGeom>
                          <a:noFill/>
                          <a:ln>
                            <a:noFill/>
                          </a:ln>
                        </pic:spPr>
                      </pic:pic>
                    </a:graphicData>
                  </a:graphic>
                </wp:anchor>
              </w:drawing>
            </w:r>
          </w:p>
        </w:tc>
        <w:tc>
          <w:tcPr>
            <w:tcW w:w="3357"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基材：采用E1级中密度纤维板，密度0.65～0.80g/cm³,,含水率3.0～13.0%，产品的静曲强度、弹性模量、内结合强度、吸水厚度膨胀率、表面胶合强度等物理力学性能及防潮性能检测合格，甲醛释放限量≤0.124mg/m³；板材符合《GB/T 11718-2009 中密度纤维板》和《GB 18580-2017 室内装饰装修材料 人造板及其制品中甲醛释放限量》标准要求；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2、饰面：木皮饰面，含水率8～16%，木皮花纹排列一致，木质色泽柔和，纹理清晰，结构紧密，不易变形，符合《GB/T 13010-2006 刨切单板》标准要求；甲醛释放限量≤0.124mg/m³；符合《GB 18580-2017 室内装饰装修材料 人造板及其制品中甲醛释放限量》标准要求；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油漆：采用水性油漆（涂料），挥发性有机化合物（VOC）含量≤300g/L，苯系物含量（苯、甲苯、乙苯和二甲苯总和）≤300mg/kg，游离甲醛含量≤100mg/kg，铅、镉、铬、汞等可溶性重金属含量（限色漆、腻子、和醇酸清漆）≤60mg/kg，硬度（擦伤）≥B，油漆耐碱、耐醇、耐污染、耐干热，符合《GB 24410-2009 室内装饰装修材料水性木器涂料中有害物质限量》和《GB/T 23999-2009室内装饰装修用水性木器涂料》标准要求；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5、优质五金配件。</w:t>
            </w: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组</w:t>
            </w:r>
          </w:p>
        </w:tc>
      </w:tr>
      <w:tr>
        <w:tblPrEx>
          <w:shd w:val="clear"/>
          <w:tblCellMar>
            <w:top w:w="0" w:type="dxa"/>
            <w:left w:w="108" w:type="dxa"/>
            <w:bottom w:w="0" w:type="dxa"/>
            <w:right w:w="108" w:type="dxa"/>
          </w:tblCellMar>
        </w:tblPrEx>
        <w:trPr>
          <w:wAfter w:w="0" w:type="auto"/>
          <w:trHeight w:val="342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40</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6门书柜</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2700*2000*400</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902970</wp:posOffset>
                  </wp:positionV>
                  <wp:extent cx="1752600" cy="1398905"/>
                  <wp:effectExtent l="0" t="0" r="0" b="10795"/>
                  <wp:wrapNone/>
                  <wp:docPr id="60" name="图片_27"/>
                  <wp:cNvGraphicFramePr/>
                  <a:graphic xmlns:a="http://schemas.openxmlformats.org/drawingml/2006/main">
                    <a:graphicData uri="http://schemas.openxmlformats.org/drawingml/2006/picture">
                      <pic:pic xmlns:pic="http://schemas.openxmlformats.org/drawingml/2006/picture">
                        <pic:nvPicPr>
                          <pic:cNvPr id="60" name="图片_27"/>
                          <pic:cNvPicPr/>
                        </pic:nvPicPr>
                        <pic:blipFill>
                          <a:blip r:embed="rId39"/>
                          <a:stretch>
                            <a:fillRect/>
                          </a:stretch>
                        </pic:blipFill>
                        <pic:spPr>
                          <a:xfrm>
                            <a:off x="0" y="0"/>
                            <a:ext cx="1752600" cy="1398905"/>
                          </a:xfrm>
                          <a:prstGeom prst="rect">
                            <a:avLst/>
                          </a:prstGeom>
                          <a:noFill/>
                          <a:ln>
                            <a:noFill/>
                          </a:ln>
                        </pic:spPr>
                      </pic:pic>
                    </a:graphicData>
                  </a:graphic>
                </wp:anchor>
              </w:drawing>
            </w:r>
          </w:p>
        </w:tc>
        <w:tc>
          <w:tcPr>
            <w:tcW w:w="3357"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组</w:t>
            </w:r>
          </w:p>
        </w:tc>
      </w:tr>
      <w:tr>
        <w:tblPrEx>
          <w:shd w:val="clear"/>
          <w:tblCellMar>
            <w:top w:w="0" w:type="dxa"/>
            <w:left w:w="108" w:type="dxa"/>
            <w:bottom w:w="0" w:type="dxa"/>
            <w:right w:w="108" w:type="dxa"/>
          </w:tblCellMar>
        </w:tblPrEx>
        <w:trPr>
          <w:wAfter w:w="0" w:type="auto"/>
          <w:trHeight w:val="304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41</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班椅</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厂标</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102870</wp:posOffset>
                  </wp:positionV>
                  <wp:extent cx="1465580" cy="1786255"/>
                  <wp:effectExtent l="0" t="0" r="1270" b="4445"/>
                  <wp:wrapNone/>
                  <wp:docPr id="48" name="图片_11"/>
                  <wp:cNvGraphicFramePr/>
                  <a:graphic xmlns:a="http://schemas.openxmlformats.org/drawingml/2006/main">
                    <a:graphicData uri="http://schemas.openxmlformats.org/drawingml/2006/picture">
                      <pic:pic xmlns:pic="http://schemas.openxmlformats.org/drawingml/2006/picture">
                        <pic:nvPicPr>
                          <pic:cNvPr id="48" name="图片_11"/>
                          <pic:cNvPicPr/>
                        </pic:nvPicPr>
                        <pic:blipFill>
                          <a:blip r:embed="rId40"/>
                          <a:stretch>
                            <a:fillRect/>
                          </a:stretch>
                        </pic:blipFill>
                        <pic:spPr>
                          <a:xfrm>
                            <a:off x="0" y="0"/>
                            <a:ext cx="1465580" cy="1786255"/>
                          </a:xfrm>
                          <a:prstGeom prst="rect">
                            <a:avLst/>
                          </a:prstGeom>
                          <a:noFill/>
                          <a:ln>
                            <a:noFill/>
                          </a:ln>
                        </pic:spPr>
                      </pic:pic>
                    </a:graphicData>
                  </a:graphic>
                </wp:anchor>
              </w:drawing>
            </w:r>
          </w:p>
        </w:tc>
        <w:tc>
          <w:tcPr>
            <w:tcW w:w="335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1、框架：实木框架，木材经干燥、防虫、防腐处理，木材全干密度≧0.50g/cm³，含水率低于16%；甲醛释放量≤1.5mg/L；</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2、饰面：采用牛皮饰面，牛皮厚薄均匀，无油腻感，革身平整、柔软、丰满有弹性；皮革涂层粘着牢度≧2.5N/10mm，气味≦3级，PH≧3.2,游离甲醛≤75mg/kg,不含铅、镉等可萃取重金属；</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3、海绵：海绵颜色均匀、无污染、无刺激性气味，回弹率≧50%，拉伸强度≧100kPa；</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4、油漆：采用水性油漆（涂料），挥发性有机化合物（VOC）含量≤300g/L，苯系物含量（苯、甲苯、乙苯和二甲苯总和）≤300mg/kg，游离甲醛含量≤100mg/kg。</w:t>
            </w: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把</w:t>
            </w:r>
          </w:p>
        </w:tc>
      </w:tr>
      <w:tr>
        <w:tblPrEx>
          <w:shd w:val="clear"/>
          <w:tblCellMar>
            <w:top w:w="0" w:type="dxa"/>
            <w:left w:w="108" w:type="dxa"/>
            <w:bottom w:w="0" w:type="dxa"/>
            <w:right w:w="108" w:type="dxa"/>
          </w:tblCellMar>
        </w:tblPrEx>
        <w:trPr>
          <w:wAfter w:w="0" w:type="auto"/>
          <w:trHeight w:val="346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42</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沙发</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单人位</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-27305</wp:posOffset>
                  </wp:positionH>
                  <wp:positionV relativeFrom="paragraph">
                    <wp:posOffset>963930</wp:posOffset>
                  </wp:positionV>
                  <wp:extent cx="1874520" cy="800100"/>
                  <wp:effectExtent l="0" t="0" r="11430" b="0"/>
                  <wp:wrapNone/>
                  <wp:docPr id="46" name="图片_77"/>
                  <wp:cNvGraphicFramePr/>
                  <a:graphic xmlns:a="http://schemas.openxmlformats.org/drawingml/2006/main">
                    <a:graphicData uri="http://schemas.openxmlformats.org/drawingml/2006/picture">
                      <pic:pic xmlns:pic="http://schemas.openxmlformats.org/drawingml/2006/picture">
                        <pic:nvPicPr>
                          <pic:cNvPr id="46" name="图片_77"/>
                          <pic:cNvPicPr/>
                        </pic:nvPicPr>
                        <pic:blipFill>
                          <a:blip r:embed="rId41"/>
                          <a:stretch>
                            <a:fillRect/>
                          </a:stretch>
                        </pic:blipFill>
                        <pic:spPr>
                          <a:xfrm>
                            <a:off x="0" y="0"/>
                            <a:ext cx="1874520" cy="800100"/>
                          </a:xfrm>
                          <a:prstGeom prst="rect">
                            <a:avLst/>
                          </a:prstGeom>
                          <a:noFill/>
                          <a:ln>
                            <a:noFill/>
                          </a:ln>
                        </pic:spPr>
                      </pic:pic>
                    </a:graphicData>
                  </a:graphic>
                </wp:anchor>
              </w:drawing>
            </w:r>
          </w:p>
        </w:tc>
        <w:tc>
          <w:tcPr>
            <w:tcW w:w="335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1、面  料：采用牛皮饰面，牛皮厚薄均匀，无油腻感，革身平整、柔软、丰满有弹性；皮革涂层粘着牢度≧2.5N/10mm，气味≦3级，PH≧3.2,游离甲醛≤75mg/kg,不含铅、镉等可萃取重金属；</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2、海　棉：海绵颜色均匀、无污染、无刺激性气味，回弹率≧50%，拉伸强度≧100kPa；</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3、内框架：实木框架，木材经干燥、防虫、防腐处理，木材全干密度≧0.50g/cm³，含水率低于16%；甲醛释放量≤1.5mg/L，符合《GB 18584-2001 室内装饰装修材料 木家具中有害物质限量》标准要求；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4、打  底：优质蛇簧和尼龙绷带穿插纺织打底，与泡棉之间加耐磨衬而，座面蛇簧四条、靠背蛇簧三条；</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5、支  脚：实木支脚油漆涂饰，表面光滑平整，不易脱色，无剥落、露底、针孔、划痕。</w:t>
            </w:r>
          </w:p>
        </w:tc>
        <w:tc>
          <w:tcPr>
            <w:tcW w:w="48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545"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r>
      <w:tr>
        <w:tblPrEx>
          <w:tblCellMar>
            <w:top w:w="0" w:type="dxa"/>
            <w:left w:w="108" w:type="dxa"/>
            <w:bottom w:w="0" w:type="dxa"/>
            <w:right w:w="108" w:type="dxa"/>
          </w:tblCellMar>
        </w:tblPrEx>
        <w:trPr>
          <w:wAfter w:w="0" w:type="auto"/>
          <w:trHeight w:val="344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43</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班椅</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厂标</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304165</wp:posOffset>
                  </wp:positionH>
                  <wp:positionV relativeFrom="paragraph">
                    <wp:posOffset>288290</wp:posOffset>
                  </wp:positionV>
                  <wp:extent cx="1404620" cy="1899920"/>
                  <wp:effectExtent l="0" t="0" r="5080" b="5080"/>
                  <wp:wrapNone/>
                  <wp:docPr id="56" name="图片_62"/>
                  <wp:cNvGraphicFramePr/>
                  <a:graphic xmlns:a="http://schemas.openxmlformats.org/drawingml/2006/main">
                    <a:graphicData uri="http://schemas.openxmlformats.org/drawingml/2006/picture">
                      <pic:pic xmlns:pic="http://schemas.openxmlformats.org/drawingml/2006/picture">
                        <pic:nvPicPr>
                          <pic:cNvPr id="56" name="图片_62"/>
                          <pic:cNvPicPr/>
                        </pic:nvPicPr>
                        <pic:blipFill>
                          <a:blip r:embed="rId42"/>
                          <a:stretch>
                            <a:fillRect/>
                          </a:stretch>
                        </pic:blipFill>
                        <pic:spPr>
                          <a:xfrm>
                            <a:off x="0" y="0"/>
                            <a:ext cx="1404620" cy="1899920"/>
                          </a:xfrm>
                          <a:prstGeom prst="rect">
                            <a:avLst/>
                          </a:prstGeom>
                          <a:noFill/>
                          <a:ln>
                            <a:noFill/>
                          </a:ln>
                        </pic:spPr>
                      </pic:pic>
                    </a:graphicData>
                  </a:graphic>
                </wp:anchor>
              </w:drawing>
            </w:r>
          </w:p>
        </w:tc>
        <w:tc>
          <w:tcPr>
            <w:tcW w:w="335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1、面料：采用牛皮饰面，牛皮厚薄均匀，无油腻感，革身平整、柔软、丰满有弹性；皮革涂层粘着牢度≧2.5N/10mm，气味≦3级，PH≧3.2,游离甲醛≤75mg/kg,不含铅、镉等可萃取重金属；</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2、海绵：海绵颜色均匀、无污染、无刺激性气味，回弹率≧50%，拉伸强度≧100kPa；</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3、气压棒：内芯管壁厚度≧2.0mm，金属件通过100h中性盐雾试验，耐腐蚀等级达到10级；</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4、内框架：实木框架，木材经干燥、防虫、防腐处理，木材全干密度≧0.50g/cm³，含水率低于16%；甲醛释放量≤1.5mg/L，符合《GB 18584-2001 室内装饰装修材料 木家具中有害物质限量》标准要求；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5、实木五星脚架：采用PU全封闭涂装环保油漆，经过3道底漆，2道面漆工序。</w:t>
            </w:r>
          </w:p>
        </w:tc>
        <w:tc>
          <w:tcPr>
            <w:tcW w:w="48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545"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把</w:t>
            </w:r>
          </w:p>
        </w:tc>
      </w:tr>
      <w:tr>
        <w:tblPrEx>
          <w:tblCellMar>
            <w:top w:w="0" w:type="dxa"/>
            <w:left w:w="108" w:type="dxa"/>
            <w:bottom w:w="0" w:type="dxa"/>
            <w:right w:w="108" w:type="dxa"/>
          </w:tblCellMar>
        </w:tblPrEx>
        <w:trPr>
          <w:wAfter w:w="0" w:type="auto"/>
          <w:trHeight w:val="318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44</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班前椅</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厂标</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325120</wp:posOffset>
                  </wp:positionH>
                  <wp:positionV relativeFrom="paragraph">
                    <wp:posOffset>493395</wp:posOffset>
                  </wp:positionV>
                  <wp:extent cx="1351280" cy="1778000"/>
                  <wp:effectExtent l="0" t="0" r="1270" b="12700"/>
                  <wp:wrapNone/>
                  <wp:docPr id="57" name="图片_45"/>
                  <wp:cNvGraphicFramePr/>
                  <a:graphic xmlns:a="http://schemas.openxmlformats.org/drawingml/2006/main">
                    <a:graphicData uri="http://schemas.openxmlformats.org/drawingml/2006/picture">
                      <pic:pic xmlns:pic="http://schemas.openxmlformats.org/drawingml/2006/picture">
                        <pic:nvPicPr>
                          <pic:cNvPr id="57" name="图片_45"/>
                          <pic:cNvPicPr/>
                        </pic:nvPicPr>
                        <pic:blipFill>
                          <a:blip r:embed="rId43"/>
                          <a:stretch>
                            <a:fillRect/>
                          </a:stretch>
                        </pic:blipFill>
                        <pic:spPr>
                          <a:xfrm>
                            <a:off x="0" y="0"/>
                            <a:ext cx="1351280" cy="1778000"/>
                          </a:xfrm>
                          <a:prstGeom prst="rect">
                            <a:avLst/>
                          </a:prstGeom>
                          <a:noFill/>
                          <a:ln>
                            <a:noFill/>
                          </a:ln>
                        </pic:spPr>
                      </pic:pic>
                    </a:graphicData>
                  </a:graphic>
                </wp:anchor>
              </w:drawing>
            </w:r>
          </w:p>
        </w:tc>
        <w:tc>
          <w:tcPr>
            <w:tcW w:w="335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1、框架：实木框架，木材经干燥、防虫、防腐处理，木材全干密度≧0.50g/cm³，含水率低于16%；甲醛释放量≤1.5mg/L；</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2、饰面：优质韩皮饰面，耐拉扯、耐刮痕，纹理清晰防水，柔软耐磨；</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3、海绵：海绵颜色均匀、无污染、无刺激性气味，回弹率≧50%，拉伸强度≧100kPa；</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4、油漆：采用水性油漆（涂料），挥发性有机化合物（VOC）含量≤300g/L，苯系物含量（苯、甲苯、乙苯和二甲苯总和）≤300mg/kg，游离甲醛含量≤100mg/kg。</w:t>
            </w:r>
          </w:p>
        </w:tc>
        <w:tc>
          <w:tcPr>
            <w:tcW w:w="48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545"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把</w:t>
            </w:r>
          </w:p>
        </w:tc>
      </w:tr>
      <w:tr>
        <w:tblPrEx>
          <w:shd w:val="clear"/>
          <w:tblCellMar>
            <w:top w:w="0" w:type="dxa"/>
            <w:left w:w="108" w:type="dxa"/>
            <w:bottom w:w="0" w:type="dxa"/>
            <w:right w:w="108" w:type="dxa"/>
          </w:tblCellMar>
        </w:tblPrEx>
        <w:trPr>
          <w:wAfter w:w="0" w:type="auto"/>
          <w:trHeight w:val="218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45</w:t>
            </w:r>
          </w:p>
        </w:tc>
        <w:tc>
          <w:tcPr>
            <w:tcW w:w="725"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沙发</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wp:posOffset>
                  </wp:positionH>
                  <wp:positionV relativeFrom="paragraph">
                    <wp:posOffset>225425</wp:posOffset>
                  </wp:positionV>
                  <wp:extent cx="1826260" cy="895350"/>
                  <wp:effectExtent l="0" t="0" r="2540" b="0"/>
                  <wp:wrapNone/>
                  <wp:docPr id="58" name="图片_73"/>
                  <wp:cNvGraphicFramePr/>
                  <a:graphic xmlns:a="http://schemas.openxmlformats.org/drawingml/2006/main">
                    <a:graphicData uri="http://schemas.openxmlformats.org/drawingml/2006/picture">
                      <pic:pic xmlns:pic="http://schemas.openxmlformats.org/drawingml/2006/picture">
                        <pic:nvPicPr>
                          <pic:cNvPr id="58" name="图片_73"/>
                          <pic:cNvPicPr/>
                        </pic:nvPicPr>
                        <pic:blipFill>
                          <a:blip r:embed="rId44"/>
                          <a:stretch>
                            <a:fillRect/>
                          </a:stretch>
                        </pic:blipFill>
                        <pic:spPr>
                          <a:xfrm>
                            <a:off x="0" y="0"/>
                            <a:ext cx="1826260" cy="895350"/>
                          </a:xfrm>
                          <a:prstGeom prst="rect">
                            <a:avLst/>
                          </a:prstGeom>
                          <a:noFill/>
                          <a:ln>
                            <a:noFill/>
                          </a:ln>
                        </pic:spPr>
                      </pic:pic>
                    </a:graphicData>
                  </a:graphic>
                </wp:anchor>
              </w:drawing>
            </w:r>
          </w:p>
        </w:tc>
        <w:tc>
          <w:tcPr>
            <w:tcW w:w="3357"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1、面  料：采用牛皮饰面，牛皮厚薄均匀，无油腻感，革身平整、柔软、丰满有弹性；皮革涂层粘着牢度≧2.5N/10mm，气味≦3级，PH≧3.2,游离甲醛≤75mg/kg,不含铅、镉等可萃取重金属；</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2、海　棉：海绵颜色均匀、无污染、无刺激性气味，回弹率≧50%，拉伸强度≧100kPa；</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3、内框架：实木框架，木材经干燥、防虫、防腐处理，木材全干密度≧0.50g/cm³，含水率低于16%；甲醛释放量≤1.5mg/L，符合《GB 18584-2001 室内装饰装修材料 木家具中有害物质限量》标准要求；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4、打  底：优质蛇簧和尼龙绷带穿插纺织打底，与泡棉之间加耐磨衬而，座面蛇簧四条、靠背蛇簧三条；</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5、支  脚：实木支脚油漆涂饰，表面光滑平整，不易脱色，无剥落、露底、针孔、划痕。</w:t>
            </w: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组</w:t>
            </w:r>
          </w:p>
        </w:tc>
      </w:tr>
      <w:tr>
        <w:tblPrEx>
          <w:shd w:val="clear"/>
          <w:tblCellMar>
            <w:top w:w="0" w:type="dxa"/>
            <w:left w:w="108" w:type="dxa"/>
            <w:bottom w:w="0" w:type="dxa"/>
            <w:right w:w="108" w:type="dxa"/>
          </w:tblCellMar>
        </w:tblPrEx>
        <w:trPr>
          <w:wAfter w:w="0" w:type="auto"/>
          <w:trHeight w:val="188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t>46</w:t>
            </w:r>
          </w:p>
        </w:tc>
        <w:tc>
          <w:tcPr>
            <w:tcW w:w="725"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单人位</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53975</wp:posOffset>
                  </wp:positionH>
                  <wp:positionV relativeFrom="paragraph">
                    <wp:posOffset>927735</wp:posOffset>
                  </wp:positionV>
                  <wp:extent cx="1753870" cy="836295"/>
                  <wp:effectExtent l="0" t="0" r="17780" b="1905"/>
                  <wp:wrapNone/>
                  <wp:docPr id="70" name="图片_73"/>
                  <wp:cNvGraphicFramePr/>
                  <a:graphic xmlns:a="http://schemas.openxmlformats.org/drawingml/2006/main">
                    <a:graphicData uri="http://schemas.openxmlformats.org/drawingml/2006/picture">
                      <pic:pic xmlns:pic="http://schemas.openxmlformats.org/drawingml/2006/picture">
                        <pic:nvPicPr>
                          <pic:cNvPr id="70" name="图片_73"/>
                          <pic:cNvPicPr/>
                        </pic:nvPicPr>
                        <pic:blipFill>
                          <a:blip r:embed="rId44"/>
                          <a:stretch>
                            <a:fillRect/>
                          </a:stretch>
                        </pic:blipFill>
                        <pic:spPr>
                          <a:xfrm>
                            <a:off x="0" y="0"/>
                            <a:ext cx="1753870" cy="836295"/>
                          </a:xfrm>
                          <a:prstGeom prst="rect">
                            <a:avLst/>
                          </a:prstGeom>
                          <a:noFill/>
                          <a:ln>
                            <a:noFill/>
                          </a:ln>
                        </pic:spPr>
                      </pic:pic>
                    </a:graphicData>
                  </a:graphic>
                </wp:anchor>
              </w:drawing>
            </w:r>
          </w:p>
        </w:tc>
        <w:tc>
          <w:tcPr>
            <w:tcW w:w="3357"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r>
      <w:tr>
        <w:tblPrEx>
          <w:shd w:val="clear"/>
          <w:tblCellMar>
            <w:top w:w="0" w:type="dxa"/>
            <w:left w:w="108" w:type="dxa"/>
            <w:bottom w:w="0" w:type="dxa"/>
            <w:right w:w="108" w:type="dxa"/>
          </w:tblCellMar>
        </w:tblPrEx>
        <w:trPr>
          <w:wAfter w:w="0" w:type="auto"/>
          <w:trHeight w:val="292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47</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接待沙发</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单人位</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wp:posOffset>
                  </wp:positionH>
                  <wp:positionV relativeFrom="paragraph">
                    <wp:posOffset>461010</wp:posOffset>
                  </wp:positionV>
                  <wp:extent cx="1898650" cy="1017905"/>
                  <wp:effectExtent l="0" t="0" r="6350" b="10795"/>
                  <wp:wrapNone/>
                  <wp:docPr id="53" name="图片_30"/>
                  <wp:cNvGraphicFramePr/>
                  <a:graphic xmlns:a="http://schemas.openxmlformats.org/drawingml/2006/main">
                    <a:graphicData uri="http://schemas.openxmlformats.org/drawingml/2006/picture">
                      <pic:pic xmlns:pic="http://schemas.openxmlformats.org/drawingml/2006/picture">
                        <pic:nvPicPr>
                          <pic:cNvPr id="53" name="图片_30"/>
                          <pic:cNvPicPr/>
                        </pic:nvPicPr>
                        <pic:blipFill>
                          <a:blip r:embed="rId45"/>
                          <a:stretch>
                            <a:fillRect/>
                          </a:stretch>
                        </pic:blipFill>
                        <pic:spPr>
                          <a:xfrm>
                            <a:off x="0" y="0"/>
                            <a:ext cx="1898650" cy="1017905"/>
                          </a:xfrm>
                          <a:prstGeom prst="rect">
                            <a:avLst/>
                          </a:prstGeom>
                          <a:noFill/>
                          <a:ln>
                            <a:noFill/>
                          </a:ln>
                        </pic:spPr>
                      </pic:pic>
                    </a:graphicData>
                  </a:graphic>
                </wp:anchor>
              </w:drawing>
            </w:r>
          </w:p>
        </w:tc>
        <w:tc>
          <w:tcPr>
            <w:tcW w:w="335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面料：采用优质布绒，无疤痕、胫裂、针孔、皱折及异味，颜色均匀摩擦牢固系数&gt;4.5/3.5(干/湿)，撕裂强度&gt;35N，断裂伸长度&lt;80%，透气性好、回位伸缩性强。海绵：合成乳胶(PU)发泡一体成型泡棉，曲度依照人体工程学背部曲线设计，力求高标准的舒适性，密度36kg/m2，回弹力47%。粘合剂：成型胶。采用PU全封闭涂装环保油漆，经过3道底漆，2道面漆工序框架：优质实木框架，并经过烘干、防潮、防虫、防腐处理，抗弯力强，不易变形。</w:t>
            </w: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r>
      <w:tr>
        <w:tblPrEx>
          <w:shd w:val="clear"/>
          <w:tblCellMar>
            <w:top w:w="0" w:type="dxa"/>
            <w:left w:w="108" w:type="dxa"/>
            <w:bottom w:w="0" w:type="dxa"/>
            <w:right w:w="108" w:type="dxa"/>
          </w:tblCellMar>
        </w:tblPrEx>
        <w:trPr>
          <w:wAfter w:w="0" w:type="auto"/>
          <w:trHeight w:val="226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48</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茶几</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600*400*450</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237490</wp:posOffset>
                  </wp:positionH>
                  <wp:positionV relativeFrom="paragraph">
                    <wp:posOffset>335915</wp:posOffset>
                  </wp:positionV>
                  <wp:extent cx="1323340" cy="908050"/>
                  <wp:effectExtent l="0" t="0" r="10160" b="6350"/>
                  <wp:wrapNone/>
                  <wp:docPr id="69" name="图片_31"/>
                  <wp:cNvGraphicFramePr/>
                  <a:graphic xmlns:a="http://schemas.openxmlformats.org/drawingml/2006/main">
                    <a:graphicData uri="http://schemas.openxmlformats.org/drawingml/2006/picture">
                      <pic:pic xmlns:pic="http://schemas.openxmlformats.org/drawingml/2006/picture">
                        <pic:nvPicPr>
                          <pic:cNvPr id="69" name="图片_31"/>
                          <pic:cNvPicPr/>
                        </pic:nvPicPr>
                        <pic:blipFill>
                          <a:blip r:embed="rId46"/>
                          <a:stretch>
                            <a:fillRect/>
                          </a:stretch>
                        </pic:blipFill>
                        <pic:spPr>
                          <a:xfrm>
                            <a:off x="0" y="0"/>
                            <a:ext cx="1323340" cy="908050"/>
                          </a:xfrm>
                          <a:prstGeom prst="rect">
                            <a:avLst/>
                          </a:prstGeom>
                          <a:noFill/>
                          <a:ln>
                            <a:noFill/>
                          </a:ln>
                        </pic:spPr>
                      </pic:pic>
                    </a:graphicData>
                  </a:graphic>
                </wp:anchor>
              </w:drawing>
            </w:r>
          </w:p>
        </w:tc>
        <w:tc>
          <w:tcPr>
            <w:tcW w:w="3357"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基材：采用E1级中密度纤维板，密度0.65～0.80g/cm³,,含水率3.0～13.0%，产品的静曲强度、弹性模量、内结合强度、吸水厚度膨胀率、表面胶合强度等物理力学性能及防潮性能检测合格，甲醛释放限量≤0.124mg/m³；板材符合《GB/T 11718-2009 中密度纤维板》和《GB 18580-2017 室内装饰装修材料 人造板及其制品中甲醛释放限量》标准要求；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2、饰面：木皮饰面，含水率8～16%，木皮花纹排列一致，木质色泽柔和，纹理清晰，结构紧密，不易变形，符合《GB/T 13010-2006 刨切单板》标准要求；甲醛释放限量≤0.124mg/m³；符合《GB 18580-2017 室内装饰装修材料 人造板及其制品中甲醛释放限量》标准要求；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油漆：采用水性油漆（涂料），挥发性有机化合物（VOC）含量≤300g/L，苯系物含量（苯、甲苯、乙苯和二甲苯总和）≤300mg/kg，游离甲醛含量≤100mg/kg，铅、镉、铬、汞等可溶性重金属含量（限色漆、腻子、和醇酸清漆）≤60mg/kg，硬度（擦伤）≥B，油漆耐碱、耐醇、耐污染、耐干热，符合《GB 24410-2009 室内装饰装修材料水性木器涂料中有害物质限量》和《GB/T 23999-2009室内装饰装修用水性木器涂料》标准要求；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4、优质五金配件。</w:t>
            </w: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张</w:t>
            </w:r>
          </w:p>
        </w:tc>
      </w:tr>
      <w:tr>
        <w:tblPrEx>
          <w:shd w:val="clear"/>
          <w:tblCellMar>
            <w:top w:w="0" w:type="dxa"/>
            <w:left w:w="108" w:type="dxa"/>
            <w:bottom w:w="0" w:type="dxa"/>
            <w:right w:w="108" w:type="dxa"/>
          </w:tblCellMar>
        </w:tblPrEx>
        <w:trPr>
          <w:wAfter w:w="0" w:type="auto"/>
          <w:trHeight w:val="254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49</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茶水柜</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1200*400*800</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98425</wp:posOffset>
                  </wp:positionH>
                  <wp:positionV relativeFrom="paragraph">
                    <wp:posOffset>1510665</wp:posOffset>
                  </wp:positionV>
                  <wp:extent cx="1659890" cy="912495"/>
                  <wp:effectExtent l="0" t="0" r="16510" b="1905"/>
                  <wp:wrapNone/>
                  <wp:docPr id="54" name="图片_70"/>
                  <wp:cNvGraphicFramePr/>
                  <a:graphic xmlns:a="http://schemas.openxmlformats.org/drawingml/2006/main">
                    <a:graphicData uri="http://schemas.openxmlformats.org/drawingml/2006/picture">
                      <pic:pic xmlns:pic="http://schemas.openxmlformats.org/drawingml/2006/picture">
                        <pic:nvPicPr>
                          <pic:cNvPr id="54" name="图片_70"/>
                          <pic:cNvPicPr/>
                        </pic:nvPicPr>
                        <pic:blipFill>
                          <a:blip r:embed="rId47"/>
                          <a:stretch>
                            <a:fillRect/>
                          </a:stretch>
                        </pic:blipFill>
                        <pic:spPr>
                          <a:xfrm>
                            <a:off x="0" y="0"/>
                            <a:ext cx="1659890" cy="912495"/>
                          </a:xfrm>
                          <a:prstGeom prst="rect">
                            <a:avLst/>
                          </a:prstGeom>
                          <a:noFill/>
                          <a:ln>
                            <a:noFill/>
                          </a:ln>
                        </pic:spPr>
                      </pic:pic>
                    </a:graphicData>
                  </a:graphic>
                </wp:anchor>
              </w:drawing>
            </w:r>
          </w:p>
        </w:tc>
        <w:tc>
          <w:tcPr>
            <w:tcW w:w="3357"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r>
      <w:tr>
        <w:tblPrEx>
          <w:shd w:val="clear"/>
          <w:tblCellMar>
            <w:top w:w="0" w:type="dxa"/>
            <w:left w:w="108" w:type="dxa"/>
            <w:bottom w:w="0" w:type="dxa"/>
            <w:right w:w="108" w:type="dxa"/>
          </w:tblCellMar>
        </w:tblPrEx>
        <w:trPr>
          <w:wAfter w:w="0" w:type="auto"/>
          <w:trHeight w:val="270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50</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班台</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1800*900*760</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-46355</wp:posOffset>
                  </wp:positionH>
                  <wp:positionV relativeFrom="paragraph">
                    <wp:posOffset>212090</wp:posOffset>
                  </wp:positionV>
                  <wp:extent cx="1839595" cy="1198245"/>
                  <wp:effectExtent l="0" t="0" r="8255" b="1905"/>
                  <wp:wrapNone/>
                  <wp:docPr id="66" name="图片_112"/>
                  <wp:cNvGraphicFramePr/>
                  <a:graphic xmlns:a="http://schemas.openxmlformats.org/drawingml/2006/main">
                    <a:graphicData uri="http://schemas.openxmlformats.org/drawingml/2006/picture">
                      <pic:pic xmlns:pic="http://schemas.openxmlformats.org/drawingml/2006/picture">
                        <pic:nvPicPr>
                          <pic:cNvPr id="66" name="图片_112"/>
                          <pic:cNvPicPr/>
                        </pic:nvPicPr>
                        <pic:blipFill>
                          <a:blip r:embed="rId48"/>
                          <a:stretch>
                            <a:fillRect/>
                          </a:stretch>
                        </pic:blipFill>
                        <pic:spPr>
                          <a:xfrm>
                            <a:off x="0" y="0"/>
                            <a:ext cx="1839595" cy="1198245"/>
                          </a:xfrm>
                          <a:prstGeom prst="rect">
                            <a:avLst/>
                          </a:prstGeom>
                          <a:noFill/>
                          <a:ln>
                            <a:noFill/>
                          </a:ln>
                        </pic:spPr>
                      </pic:pic>
                    </a:graphicData>
                  </a:graphic>
                </wp:anchor>
              </w:drawing>
            </w:r>
          </w:p>
        </w:tc>
        <w:tc>
          <w:tcPr>
            <w:tcW w:w="3357"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基材：采用E1级中密度纤维板，密度0.65～0.80g/cm³,,含水率3.0～13.0%，产品的静曲强度、弹性模量、内结合强度、吸水厚度膨胀率、表面胶合强度等物理力学性能及防潮性能检测合格，甲醛释放限量≤0.124mg/m³；板材符合《GB/T 11718-2009 中密度纤维板》和《GB 18580-2017 室内装饰装修材料 人造板及其制品中甲醛释放限量》标准要求；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2、饰面：木皮饰面，含水率8～16%，木皮花纹排列一致，木质色泽柔和，纹理清晰，结构紧密，不易变形，符合《GB/T 13010-2006 刨切单板》标准要求；甲醛释放限量≤0.124mg/m³；符合《GB 18580-2017 室内装饰装修材料 人造板及其制品中甲醛释放限量》标准要求；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油漆：采用水性油漆（涂料），挥发性有机化合物（VOC）含量≤300g/L，苯系物含量（苯、甲苯、乙苯和二甲苯总和）≤300mg/kg，游离甲醛含量≤100mg/kg，铅、镉、铬、汞等可溶性重金属含量（限色漆、腻子、和醇酸清漆）≤60mg/kg，硬度（擦伤）≥B，油漆耐碱、耐醇、耐污染、耐干热，符合《GB 24410-2009 室内装饰装修材料水性木器涂料中有害物质限量》和《GB/T 23999-2009室内装饰装修用水性木器涂料》标准要求；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4、优质五金配件。</w:t>
            </w:r>
          </w:p>
        </w:tc>
        <w:tc>
          <w:tcPr>
            <w:tcW w:w="48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545"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张</w:t>
            </w:r>
          </w:p>
        </w:tc>
      </w:tr>
      <w:tr>
        <w:tblPrEx>
          <w:shd w:val="clear"/>
          <w:tblCellMar>
            <w:top w:w="0" w:type="dxa"/>
            <w:left w:w="108" w:type="dxa"/>
            <w:bottom w:w="0" w:type="dxa"/>
            <w:right w:w="108" w:type="dxa"/>
          </w:tblCellMar>
        </w:tblPrEx>
        <w:trPr>
          <w:wAfter w:w="0" w:type="auto"/>
          <w:trHeight w:val="270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51</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5门书柜</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2250*400*2000</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67945</wp:posOffset>
                  </wp:positionH>
                  <wp:positionV relativeFrom="paragraph">
                    <wp:posOffset>83185</wp:posOffset>
                  </wp:positionV>
                  <wp:extent cx="1730375" cy="1577975"/>
                  <wp:effectExtent l="0" t="0" r="3175" b="3175"/>
                  <wp:wrapNone/>
                  <wp:docPr id="63" name="图片_88"/>
                  <wp:cNvGraphicFramePr/>
                  <a:graphic xmlns:a="http://schemas.openxmlformats.org/drawingml/2006/main">
                    <a:graphicData uri="http://schemas.openxmlformats.org/drawingml/2006/picture">
                      <pic:pic xmlns:pic="http://schemas.openxmlformats.org/drawingml/2006/picture">
                        <pic:nvPicPr>
                          <pic:cNvPr id="63" name="图片_88"/>
                          <pic:cNvPicPr/>
                        </pic:nvPicPr>
                        <pic:blipFill>
                          <a:blip r:embed="rId49"/>
                          <a:stretch>
                            <a:fillRect/>
                          </a:stretch>
                        </pic:blipFill>
                        <pic:spPr>
                          <a:xfrm>
                            <a:off x="0" y="0"/>
                            <a:ext cx="1730375" cy="1577975"/>
                          </a:xfrm>
                          <a:prstGeom prst="rect">
                            <a:avLst/>
                          </a:prstGeom>
                          <a:noFill/>
                          <a:ln>
                            <a:noFill/>
                          </a:ln>
                        </pic:spPr>
                      </pic:pic>
                    </a:graphicData>
                  </a:graphic>
                </wp:anchor>
              </w:drawing>
            </w:r>
          </w:p>
        </w:tc>
        <w:tc>
          <w:tcPr>
            <w:tcW w:w="3357"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545"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组</w:t>
            </w:r>
          </w:p>
        </w:tc>
      </w:tr>
      <w:tr>
        <w:tblPrEx>
          <w:tblCellMar>
            <w:top w:w="0" w:type="dxa"/>
            <w:left w:w="108" w:type="dxa"/>
            <w:bottom w:w="0" w:type="dxa"/>
            <w:right w:w="108" w:type="dxa"/>
          </w:tblCellMar>
        </w:tblPrEx>
        <w:trPr>
          <w:wAfter w:w="0" w:type="auto"/>
          <w:trHeight w:val="218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52</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茶几</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1200*600*450</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wp:posOffset>
                  </wp:positionH>
                  <wp:positionV relativeFrom="paragraph">
                    <wp:posOffset>725805</wp:posOffset>
                  </wp:positionV>
                  <wp:extent cx="1692910" cy="883920"/>
                  <wp:effectExtent l="0" t="0" r="2540" b="11430"/>
                  <wp:wrapNone/>
                  <wp:docPr id="67" name="图片_96"/>
                  <wp:cNvGraphicFramePr/>
                  <a:graphic xmlns:a="http://schemas.openxmlformats.org/drawingml/2006/main">
                    <a:graphicData uri="http://schemas.openxmlformats.org/drawingml/2006/picture">
                      <pic:pic xmlns:pic="http://schemas.openxmlformats.org/drawingml/2006/picture">
                        <pic:nvPicPr>
                          <pic:cNvPr id="67" name="图片_96"/>
                          <pic:cNvPicPr/>
                        </pic:nvPicPr>
                        <pic:blipFill>
                          <a:blip r:embed="rId50"/>
                          <a:stretch>
                            <a:fillRect/>
                          </a:stretch>
                        </pic:blipFill>
                        <pic:spPr>
                          <a:xfrm>
                            <a:off x="0" y="0"/>
                            <a:ext cx="1692910" cy="883920"/>
                          </a:xfrm>
                          <a:prstGeom prst="rect">
                            <a:avLst/>
                          </a:prstGeom>
                          <a:noFill/>
                          <a:ln>
                            <a:noFill/>
                          </a:ln>
                        </pic:spPr>
                      </pic:pic>
                    </a:graphicData>
                  </a:graphic>
                </wp:anchor>
              </w:drawing>
            </w:r>
          </w:p>
        </w:tc>
        <w:tc>
          <w:tcPr>
            <w:tcW w:w="3357"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545"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张</w:t>
            </w:r>
          </w:p>
        </w:tc>
      </w:tr>
      <w:tr>
        <w:tblPrEx>
          <w:shd w:val="clear"/>
          <w:tblCellMar>
            <w:top w:w="0" w:type="dxa"/>
            <w:left w:w="108" w:type="dxa"/>
            <w:bottom w:w="0" w:type="dxa"/>
            <w:right w:w="108" w:type="dxa"/>
          </w:tblCellMar>
        </w:tblPrEx>
        <w:trPr>
          <w:wAfter w:w="0" w:type="auto"/>
          <w:trHeight w:val="258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53</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班椅</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厂标</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494030</wp:posOffset>
                  </wp:positionH>
                  <wp:positionV relativeFrom="paragraph">
                    <wp:posOffset>855980</wp:posOffset>
                  </wp:positionV>
                  <wp:extent cx="1052830" cy="1466850"/>
                  <wp:effectExtent l="0" t="0" r="13970" b="0"/>
                  <wp:wrapNone/>
                  <wp:docPr id="55" name="Picture_1554"/>
                  <wp:cNvGraphicFramePr/>
                  <a:graphic xmlns:a="http://schemas.openxmlformats.org/drawingml/2006/main">
                    <a:graphicData uri="http://schemas.openxmlformats.org/drawingml/2006/picture">
                      <pic:pic xmlns:pic="http://schemas.openxmlformats.org/drawingml/2006/picture">
                        <pic:nvPicPr>
                          <pic:cNvPr id="55" name="Picture_1554"/>
                          <pic:cNvPicPr/>
                        </pic:nvPicPr>
                        <pic:blipFill>
                          <a:blip r:embed="rId51"/>
                          <a:stretch>
                            <a:fillRect/>
                          </a:stretch>
                        </pic:blipFill>
                        <pic:spPr>
                          <a:xfrm>
                            <a:off x="0" y="0"/>
                            <a:ext cx="1052830" cy="1466850"/>
                          </a:xfrm>
                          <a:prstGeom prst="rect">
                            <a:avLst/>
                          </a:prstGeom>
                          <a:noFill/>
                          <a:ln>
                            <a:noFill/>
                          </a:ln>
                        </pic:spPr>
                      </pic:pic>
                    </a:graphicData>
                  </a:graphic>
                </wp:anchor>
              </w:drawing>
            </w:r>
          </w:p>
        </w:tc>
        <w:tc>
          <w:tcPr>
            <w:tcW w:w="335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1、框架：实木框架，木材经干燥、防虫、防腐处理，木材全干密度≧0.50g/cm³，含水率低于16%；甲醛释放量≤1.5mg/L；</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2、饰面：采用牛皮饰面，牛皮厚薄均匀，无油腻感，革身平整、柔软、丰满有弹性；皮革涂层粘着牢度≧2.5N/10mm，气味≦3级，PH≧3.2,游离甲醛≤75mg/kg,不含铅、镉等可萃取重金属；</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3、海绵：海绵颜色均匀、无污染、无刺激性气味，回弹率≧50%，拉伸强度≧100kPa；</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4、油漆：采用水性油漆（涂料），挥发性有机化合物（VOC）含量≤300g/L，苯系物含量（苯、甲苯、乙苯和二甲苯总和）≤300mg/kg，游离甲醛含量≤100mg/kg。</w:t>
            </w:r>
          </w:p>
        </w:tc>
        <w:tc>
          <w:tcPr>
            <w:tcW w:w="48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545"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把</w:t>
            </w:r>
          </w:p>
        </w:tc>
      </w:tr>
      <w:tr>
        <w:tblPrEx>
          <w:shd w:val="clear"/>
          <w:tblCellMar>
            <w:top w:w="0" w:type="dxa"/>
            <w:left w:w="108" w:type="dxa"/>
            <w:bottom w:w="0" w:type="dxa"/>
            <w:right w:w="108" w:type="dxa"/>
          </w:tblCellMar>
        </w:tblPrEx>
        <w:trPr>
          <w:wAfter w:w="0" w:type="auto"/>
          <w:trHeight w:val="340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54</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沙发</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单人位</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wp:posOffset>
                  </wp:positionH>
                  <wp:positionV relativeFrom="paragraph">
                    <wp:posOffset>999490</wp:posOffset>
                  </wp:positionV>
                  <wp:extent cx="1837055" cy="851535"/>
                  <wp:effectExtent l="0" t="0" r="10795" b="5715"/>
                  <wp:wrapNone/>
                  <wp:docPr id="59" name="图片_118"/>
                  <wp:cNvGraphicFramePr/>
                  <a:graphic xmlns:a="http://schemas.openxmlformats.org/drawingml/2006/main">
                    <a:graphicData uri="http://schemas.openxmlformats.org/drawingml/2006/picture">
                      <pic:pic xmlns:pic="http://schemas.openxmlformats.org/drawingml/2006/picture">
                        <pic:nvPicPr>
                          <pic:cNvPr id="59" name="图片_118"/>
                          <pic:cNvPicPr/>
                        </pic:nvPicPr>
                        <pic:blipFill>
                          <a:blip r:embed="rId52"/>
                          <a:stretch>
                            <a:fillRect/>
                          </a:stretch>
                        </pic:blipFill>
                        <pic:spPr>
                          <a:xfrm>
                            <a:off x="0" y="0"/>
                            <a:ext cx="1837055" cy="851535"/>
                          </a:xfrm>
                          <a:prstGeom prst="rect">
                            <a:avLst/>
                          </a:prstGeom>
                          <a:noFill/>
                          <a:ln>
                            <a:noFill/>
                          </a:ln>
                        </pic:spPr>
                      </pic:pic>
                    </a:graphicData>
                  </a:graphic>
                </wp:anchor>
              </w:drawing>
            </w:r>
          </w:p>
        </w:tc>
        <w:tc>
          <w:tcPr>
            <w:tcW w:w="335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1、面  料：采用牛皮饰面，牛皮厚薄均匀，无油腻感，革身平整、柔软、丰满有弹性；皮革涂层粘着牢度≧2.5N/10mm，气味≦3级，PH≧3.2,游离甲醛≤75mg/kg,不含铅、镉等可萃取重金属；</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2、海　棉：海绵颜色均匀、无污染、无刺激性气味，回弹率≧50%，拉伸强度≧100kPa；</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3、内框架：实木框架，木材经干燥、防虫、防腐处理，木材全干密度≧0.50g/cm³，含水率低于16%；甲醛释放量≤1.5mg/L，符合《GB 18584-2001 室内装饰装修材料 木家具中有害物质限量》标准要求；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4、打  底：优质蛇簧和尼龙绷带穿插纺织打底，与泡棉之间加耐磨衬而，座面蛇簧四条、靠背蛇簧三条；</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5、支  脚：实木支脚油漆涂饰，表面光滑平整，不易脱色，无剥落、露底、针孔、划痕。</w:t>
            </w: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组</w:t>
            </w:r>
          </w:p>
        </w:tc>
      </w:tr>
      <w:tr>
        <w:tblPrEx>
          <w:shd w:val="clear"/>
          <w:tblCellMar>
            <w:top w:w="0" w:type="dxa"/>
            <w:left w:w="108" w:type="dxa"/>
            <w:bottom w:w="0" w:type="dxa"/>
            <w:right w:w="108" w:type="dxa"/>
          </w:tblCellMar>
        </w:tblPrEx>
        <w:trPr>
          <w:wAfter w:w="0" w:type="auto"/>
          <w:trHeight w:val="254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55</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活动方桌</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1800*900*760</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-18415</wp:posOffset>
                  </wp:positionH>
                  <wp:positionV relativeFrom="paragraph">
                    <wp:posOffset>898525</wp:posOffset>
                  </wp:positionV>
                  <wp:extent cx="1852295" cy="1115695"/>
                  <wp:effectExtent l="0" t="0" r="14605" b="8255"/>
                  <wp:wrapNone/>
                  <wp:docPr id="52" name="图片_132"/>
                  <wp:cNvGraphicFramePr/>
                  <a:graphic xmlns:a="http://schemas.openxmlformats.org/drawingml/2006/main">
                    <a:graphicData uri="http://schemas.openxmlformats.org/drawingml/2006/picture">
                      <pic:pic xmlns:pic="http://schemas.openxmlformats.org/drawingml/2006/picture">
                        <pic:nvPicPr>
                          <pic:cNvPr id="52" name="图片_132"/>
                          <pic:cNvPicPr/>
                        </pic:nvPicPr>
                        <pic:blipFill>
                          <a:blip r:embed="rId53"/>
                          <a:stretch>
                            <a:fillRect/>
                          </a:stretch>
                        </pic:blipFill>
                        <pic:spPr>
                          <a:xfrm>
                            <a:off x="0" y="0"/>
                            <a:ext cx="1852295" cy="1115695"/>
                          </a:xfrm>
                          <a:prstGeom prst="rect">
                            <a:avLst/>
                          </a:prstGeom>
                          <a:noFill/>
                          <a:ln>
                            <a:noFill/>
                          </a:ln>
                        </pic:spPr>
                      </pic:pic>
                    </a:graphicData>
                  </a:graphic>
                </wp:anchor>
              </w:drawing>
            </w:r>
          </w:p>
        </w:tc>
        <w:tc>
          <w:tcPr>
            <w:tcW w:w="335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1、基材：采用优质环保三聚氰胺板，板材的各项技术指标须符合《GB/T 15102-2017 浸渍胶膜纸饰面纤维板和刨花板》的要求，甲醛释放量符合国家强制性标准《GB 18580-2017 室内装饰装修材料 人造板及其制品中甲醛释放限量》要求，板材的甲醛释放量≤0.124mg/m³，表面耐干热、耐污染腐蚀、耐龟裂、耐水蒸汽；耐光色牢度﹥4级；</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2、封边条：采用优质PVC封边条，厚度不小于2mm。全自动封边，耐干热，无龟裂、无鼓泡；耐开裂性达到1级；封边条甲醛释放量≤1.5mg/L，各指标符合《QB/T 4463-2013 家具用封边条技术要求》的要求；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3、钢架：采用2.0mm钢架，静电喷涂。</w:t>
            </w: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张</w:t>
            </w:r>
          </w:p>
        </w:tc>
      </w:tr>
      <w:tr>
        <w:tblPrEx>
          <w:shd w:val="clear"/>
          <w:tblCellMar>
            <w:top w:w="0" w:type="dxa"/>
            <w:left w:w="108" w:type="dxa"/>
            <w:bottom w:w="0" w:type="dxa"/>
            <w:right w:w="108" w:type="dxa"/>
          </w:tblCellMar>
        </w:tblPrEx>
        <w:trPr>
          <w:wAfter w:w="0" w:type="auto"/>
          <w:trHeight w:val="2539"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56</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期刊架</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1000*350*1800</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74930</wp:posOffset>
                  </wp:positionH>
                  <wp:positionV relativeFrom="paragraph">
                    <wp:posOffset>207645</wp:posOffset>
                  </wp:positionV>
                  <wp:extent cx="1668780" cy="1004570"/>
                  <wp:effectExtent l="0" t="0" r="7620" b="5080"/>
                  <wp:wrapNone/>
                  <wp:docPr id="61" name="图片_133"/>
                  <wp:cNvGraphicFramePr/>
                  <a:graphic xmlns:a="http://schemas.openxmlformats.org/drawingml/2006/main">
                    <a:graphicData uri="http://schemas.openxmlformats.org/drawingml/2006/picture">
                      <pic:pic xmlns:pic="http://schemas.openxmlformats.org/drawingml/2006/picture">
                        <pic:nvPicPr>
                          <pic:cNvPr id="61" name="图片_133"/>
                          <pic:cNvPicPr/>
                        </pic:nvPicPr>
                        <pic:blipFill>
                          <a:blip r:embed="rId54"/>
                          <a:stretch>
                            <a:fillRect/>
                          </a:stretch>
                        </pic:blipFill>
                        <pic:spPr>
                          <a:xfrm>
                            <a:off x="0" y="0"/>
                            <a:ext cx="1668780" cy="1004570"/>
                          </a:xfrm>
                          <a:prstGeom prst="rect">
                            <a:avLst/>
                          </a:prstGeom>
                          <a:noFill/>
                          <a:ln>
                            <a:noFill/>
                          </a:ln>
                        </pic:spPr>
                      </pic:pic>
                    </a:graphicData>
                  </a:graphic>
                </wp:anchor>
              </w:drawing>
            </w:r>
          </w:p>
        </w:tc>
        <w:tc>
          <w:tcPr>
            <w:tcW w:w="335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使用优质SPCC冷轧板,立柱规格2.0mm,层板1.2mm,挂板1.2mm,侧板1.2mm,挡条1.0mm,顶板1.0mm,底框2.0mm.十工位表面前处理工序:预脱脂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→脱脂→水洗→酸洗→水洗→中和→表调→磷化→水洗→钝化。环氧聚脂粉静电喷塑。</w:t>
            </w: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组</w:t>
            </w:r>
          </w:p>
        </w:tc>
      </w:tr>
      <w:tr>
        <w:tblPrEx>
          <w:tblCellMar>
            <w:top w:w="0" w:type="dxa"/>
            <w:left w:w="108" w:type="dxa"/>
            <w:bottom w:w="0" w:type="dxa"/>
            <w:right w:w="108" w:type="dxa"/>
          </w:tblCellMar>
        </w:tblPrEx>
        <w:trPr>
          <w:wAfter w:w="0" w:type="auto"/>
          <w:trHeight w:val="228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57</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椅子</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厂标</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538480</wp:posOffset>
                  </wp:positionH>
                  <wp:positionV relativeFrom="paragraph">
                    <wp:posOffset>177800</wp:posOffset>
                  </wp:positionV>
                  <wp:extent cx="950595" cy="1259205"/>
                  <wp:effectExtent l="0" t="0" r="1905" b="17145"/>
                  <wp:wrapNone/>
                  <wp:docPr id="62" name="图片_136"/>
                  <wp:cNvGraphicFramePr/>
                  <a:graphic xmlns:a="http://schemas.openxmlformats.org/drawingml/2006/main">
                    <a:graphicData uri="http://schemas.openxmlformats.org/drawingml/2006/picture">
                      <pic:pic xmlns:pic="http://schemas.openxmlformats.org/drawingml/2006/picture">
                        <pic:nvPicPr>
                          <pic:cNvPr id="62" name="图片_136"/>
                          <pic:cNvPicPr/>
                        </pic:nvPicPr>
                        <pic:blipFill>
                          <a:blip r:embed="rId55"/>
                          <a:stretch>
                            <a:fillRect/>
                          </a:stretch>
                        </pic:blipFill>
                        <pic:spPr>
                          <a:xfrm>
                            <a:off x="0" y="0"/>
                            <a:ext cx="950595" cy="1259205"/>
                          </a:xfrm>
                          <a:prstGeom prst="rect">
                            <a:avLst/>
                          </a:prstGeom>
                          <a:noFill/>
                          <a:ln>
                            <a:noFill/>
                          </a:ln>
                        </pic:spPr>
                      </pic:pic>
                    </a:graphicData>
                  </a:graphic>
                </wp:anchor>
              </w:drawing>
            </w:r>
          </w:p>
        </w:tc>
        <w:tc>
          <w:tcPr>
            <w:tcW w:w="335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1、靠背和坐垫采用优质面料，不含C类甲醛，C类染色牢度≧3级，无异味；</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2、海绵颜色均匀、无污染、无刺激性气味，回弹率≧50%，拉伸强度≧100kPa；</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3、椅架：采用20#圆管，管材经抛光打磨处理，表面镀铬；椅脚配有静音胶垫。</w:t>
            </w: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把</w:t>
            </w:r>
          </w:p>
        </w:tc>
      </w:tr>
      <w:tr>
        <w:tblPrEx>
          <w:shd w:val="clear"/>
          <w:tblCellMar>
            <w:top w:w="0" w:type="dxa"/>
            <w:left w:w="108" w:type="dxa"/>
            <w:bottom w:w="0" w:type="dxa"/>
            <w:right w:w="108" w:type="dxa"/>
          </w:tblCellMar>
        </w:tblPrEx>
        <w:trPr>
          <w:wAfter w:w="0" w:type="auto"/>
          <w:trHeight w:val="250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58</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休息椅</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三人位</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42545</wp:posOffset>
                  </wp:positionH>
                  <wp:positionV relativeFrom="paragraph">
                    <wp:posOffset>238125</wp:posOffset>
                  </wp:positionV>
                  <wp:extent cx="1850390" cy="1124585"/>
                  <wp:effectExtent l="0" t="0" r="16510" b="18415"/>
                  <wp:wrapNone/>
                  <wp:docPr id="49" name="图片_139"/>
                  <wp:cNvGraphicFramePr/>
                  <a:graphic xmlns:a="http://schemas.openxmlformats.org/drawingml/2006/main">
                    <a:graphicData uri="http://schemas.openxmlformats.org/drawingml/2006/picture">
                      <pic:pic xmlns:pic="http://schemas.openxmlformats.org/drawingml/2006/picture">
                        <pic:nvPicPr>
                          <pic:cNvPr id="49" name="图片_139"/>
                          <pic:cNvPicPr/>
                        </pic:nvPicPr>
                        <pic:blipFill>
                          <a:blip r:embed="rId56"/>
                          <a:stretch>
                            <a:fillRect/>
                          </a:stretch>
                        </pic:blipFill>
                        <pic:spPr>
                          <a:xfrm>
                            <a:off x="0" y="0"/>
                            <a:ext cx="1850390" cy="1124585"/>
                          </a:xfrm>
                          <a:prstGeom prst="rect">
                            <a:avLst/>
                          </a:prstGeom>
                          <a:noFill/>
                          <a:ln>
                            <a:noFill/>
                          </a:ln>
                        </pic:spPr>
                      </pic:pic>
                    </a:graphicData>
                  </a:graphic>
                </wp:anchor>
              </w:drawing>
            </w:r>
          </w:p>
        </w:tc>
        <w:tc>
          <w:tcPr>
            <w:tcW w:w="335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钢结构框架，外包裹优质耐磨软垫PU发泡聚氨酯；椅面高端聚氨酯内包钢蕊一次发泡成型，使用寿命相较传统西皮软垫高5倍以上，泡沫芯层结构，既有皮面的质感，又有海面的舒适感，耐寒性好，特别适用于寒冷的冬季，表皮组织严密，易清洁保养，不易滋生细菌。</w:t>
            </w:r>
          </w:p>
        </w:tc>
        <w:tc>
          <w:tcPr>
            <w:tcW w:w="48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545"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组</w:t>
            </w:r>
          </w:p>
        </w:tc>
      </w:tr>
      <w:tr>
        <w:tblPrEx>
          <w:shd w:val="clear"/>
          <w:tblCellMar>
            <w:top w:w="0" w:type="dxa"/>
            <w:left w:w="108" w:type="dxa"/>
            <w:bottom w:w="0" w:type="dxa"/>
            <w:right w:w="108" w:type="dxa"/>
          </w:tblCellMar>
        </w:tblPrEx>
        <w:trPr>
          <w:wAfter w:w="0" w:type="auto"/>
          <w:trHeight w:val="132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59</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实木单床</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1200*2000</w:t>
            </w:r>
          </w:p>
        </w:tc>
        <w:tc>
          <w:tcPr>
            <w:tcW w:w="3138" w:type="dxa"/>
            <w:vMerge w:val="restart"/>
            <w:tcBorders>
              <w:top w:val="nil"/>
              <w:left w:val="single" w:color="000000" w:sz="4" w:space="0"/>
              <w:bottom w:val="nil"/>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194945</wp:posOffset>
                  </wp:positionH>
                  <wp:positionV relativeFrom="paragraph">
                    <wp:posOffset>37465</wp:posOffset>
                  </wp:positionV>
                  <wp:extent cx="1277620" cy="761365"/>
                  <wp:effectExtent l="0" t="0" r="17780" b="635"/>
                  <wp:wrapNone/>
                  <wp:docPr id="45" name="图片_144"/>
                  <wp:cNvGraphicFramePr/>
                  <a:graphic xmlns:a="http://schemas.openxmlformats.org/drawingml/2006/main">
                    <a:graphicData uri="http://schemas.openxmlformats.org/drawingml/2006/picture">
                      <pic:pic xmlns:pic="http://schemas.openxmlformats.org/drawingml/2006/picture">
                        <pic:nvPicPr>
                          <pic:cNvPr id="45" name="图片_144"/>
                          <pic:cNvPicPr/>
                        </pic:nvPicPr>
                        <pic:blipFill>
                          <a:blip r:embed="rId57"/>
                          <a:stretch>
                            <a:fillRect/>
                          </a:stretch>
                        </pic:blipFill>
                        <pic:spPr>
                          <a:xfrm>
                            <a:off x="0" y="0"/>
                            <a:ext cx="1277620" cy="761365"/>
                          </a:xfrm>
                          <a:prstGeom prst="rect">
                            <a:avLst/>
                          </a:prstGeom>
                          <a:noFill/>
                          <a:ln>
                            <a:noFill/>
                          </a:ln>
                        </pic:spPr>
                      </pic:pic>
                    </a:graphicData>
                  </a:graphic>
                </wp:anchor>
              </w:drawing>
            </w:r>
          </w:p>
        </w:tc>
        <w:tc>
          <w:tcPr>
            <w:tcW w:w="3357" w:type="dxa"/>
            <w:vMerge w:val="restart"/>
            <w:tcBorders>
              <w:top w:val="nil"/>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基材采用全实木。木材质地匀称，质感好，经真空慢高温干燥处理，干温湿度达到国家标准，不易变形。油漆采用环保聚酯漆。符合环保标准；可溶性铅&lt;9mg/kg，油漆硬度为2H,光泽均匀，流平性能好，饱满度高，抗刮性强，不易褪色</w:t>
            </w:r>
          </w:p>
        </w:tc>
        <w:tc>
          <w:tcPr>
            <w:tcW w:w="48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545"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张</w:t>
            </w:r>
          </w:p>
        </w:tc>
      </w:tr>
      <w:tr>
        <w:tblPrEx>
          <w:shd w:val="clear"/>
          <w:tblCellMar>
            <w:top w:w="0" w:type="dxa"/>
            <w:left w:w="108" w:type="dxa"/>
            <w:bottom w:w="0" w:type="dxa"/>
            <w:right w:w="108" w:type="dxa"/>
          </w:tblCellMar>
        </w:tblPrEx>
        <w:trPr>
          <w:wAfter w:w="0" w:type="auto"/>
          <w:trHeight w:val="132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60</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床头柜</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600*400*580</w:t>
            </w:r>
          </w:p>
        </w:tc>
        <w:tc>
          <w:tcPr>
            <w:tcW w:w="3138" w:type="dxa"/>
            <w:vMerge w:val="continue"/>
            <w:tcBorders>
              <w:top w:val="nil"/>
              <w:left w:val="single" w:color="000000" w:sz="4" w:space="0"/>
              <w:bottom w:val="nil"/>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3357" w:type="dxa"/>
            <w:vMerge w:val="continue"/>
            <w:tcBorders>
              <w:top w:val="nil"/>
              <w:left w:val="single" w:color="000000" w:sz="4" w:space="0"/>
              <w:bottom w:val="nil"/>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545"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r>
      <w:tr>
        <w:tblPrEx>
          <w:shd w:val="clear"/>
          <w:tblCellMar>
            <w:top w:w="0" w:type="dxa"/>
            <w:left w:w="108" w:type="dxa"/>
            <w:bottom w:w="0" w:type="dxa"/>
            <w:right w:w="108" w:type="dxa"/>
          </w:tblCellMar>
        </w:tblPrEx>
        <w:trPr>
          <w:wAfter w:w="0" w:type="auto"/>
          <w:trHeight w:val="2802"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61</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餐桌</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直径1.6米</w:t>
            </w:r>
          </w:p>
        </w:tc>
        <w:tc>
          <w:tcPr>
            <w:tcW w:w="31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46355</wp:posOffset>
                  </wp:positionH>
                  <wp:positionV relativeFrom="paragraph">
                    <wp:posOffset>815340</wp:posOffset>
                  </wp:positionV>
                  <wp:extent cx="1751330" cy="1360805"/>
                  <wp:effectExtent l="0" t="0" r="1270" b="10795"/>
                  <wp:wrapNone/>
                  <wp:docPr id="64" name="Picture_1264"/>
                  <wp:cNvGraphicFramePr/>
                  <a:graphic xmlns:a="http://schemas.openxmlformats.org/drawingml/2006/main">
                    <a:graphicData uri="http://schemas.openxmlformats.org/drawingml/2006/picture">
                      <pic:pic xmlns:pic="http://schemas.openxmlformats.org/drawingml/2006/picture">
                        <pic:nvPicPr>
                          <pic:cNvPr id="64" name="Picture_1264"/>
                          <pic:cNvPicPr/>
                        </pic:nvPicPr>
                        <pic:blipFill>
                          <a:blip r:embed="rId58"/>
                          <a:stretch>
                            <a:fillRect/>
                          </a:stretch>
                        </pic:blipFill>
                        <pic:spPr>
                          <a:xfrm>
                            <a:off x="0" y="0"/>
                            <a:ext cx="1751330" cy="1360805"/>
                          </a:xfrm>
                          <a:prstGeom prst="rect">
                            <a:avLst/>
                          </a:prstGeom>
                          <a:noFill/>
                          <a:ln>
                            <a:noFill/>
                          </a:ln>
                        </pic:spPr>
                      </pic:pic>
                    </a:graphicData>
                  </a:graphic>
                </wp:anchor>
              </w:drawing>
            </w:r>
          </w:p>
        </w:tc>
        <w:tc>
          <w:tcPr>
            <w:tcW w:w="335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430" cy="1811655"/>
                  <wp:effectExtent l="0" t="0" r="7620" b="17145"/>
                  <wp:wrapNone/>
                  <wp:docPr id="65" name="Picture_376469"/>
                  <wp:cNvGraphicFramePr/>
                  <a:graphic xmlns:a="http://schemas.openxmlformats.org/drawingml/2006/main">
                    <a:graphicData uri="http://schemas.openxmlformats.org/drawingml/2006/picture">
                      <pic:pic xmlns:pic="http://schemas.openxmlformats.org/drawingml/2006/picture">
                        <pic:nvPicPr>
                          <pic:cNvPr id="65" name="Picture_376469"/>
                          <pic:cNvPicPr/>
                        </pic:nvPicPr>
                        <pic:blipFill>
                          <a:blip r:embed="rId59"/>
                          <a:stretch>
                            <a:fillRect/>
                          </a:stretch>
                        </pic:blipFill>
                        <pic:spPr>
                          <a:xfrm>
                            <a:off x="0" y="0"/>
                            <a:ext cx="11430" cy="181165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430" cy="1811655"/>
                  <wp:effectExtent l="0" t="0" r="7620" b="17145"/>
                  <wp:wrapNone/>
                  <wp:docPr id="68" name="Picture_376469_SpCnt_1"/>
                  <wp:cNvGraphicFramePr/>
                  <a:graphic xmlns:a="http://schemas.openxmlformats.org/drawingml/2006/main">
                    <a:graphicData uri="http://schemas.openxmlformats.org/drawingml/2006/picture">
                      <pic:pic xmlns:pic="http://schemas.openxmlformats.org/drawingml/2006/picture">
                        <pic:nvPicPr>
                          <pic:cNvPr id="68" name="Picture_376469_SpCnt_1"/>
                          <pic:cNvPicPr/>
                        </pic:nvPicPr>
                        <pic:blipFill>
                          <a:blip r:embed="rId59"/>
                          <a:stretch>
                            <a:fillRect/>
                          </a:stretch>
                        </pic:blipFill>
                        <pic:spPr>
                          <a:xfrm>
                            <a:off x="0" y="0"/>
                            <a:ext cx="11430" cy="181165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none" w:color="auto" w:sz="0" w:space="0"/>
                <w:lang w:val="en-US" w:eastAsia="zh-CN" w:bidi="ar"/>
              </w:rPr>
              <w:t xml:space="preserve">1、主体框架采用实木框架，木材经干燥、防虫、防腐处理，木材全干密度≧0.50g/cm³，含水率低于16%；甲醛释放量≤1.5mg/L；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2、台面和围板采用木皮饰面，木皮含水率8～16%，花纹排列一致，木质色泽柔和，纹理清晰，结构紧密，不易变形，符合《GB/T 13010-2006》标准要求；甲醛释放限量≤0.124mg/m³，符合《GB 18580-2017》标准要求。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3、采用水性油漆（涂料），挥发性有机化合物（VOC）含量≤300g/L，苯系物含量（苯、甲苯、乙苯和二甲苯总和）≤300mg/kg，游离甲醛含量≤100mg/kg。</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4、玻璃转盘。</w:t>
            </w:r>
          </w:p>
        </w:tc>
        <w:tc>
          <w:tcPr>
            <w:tcW w:w="48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545"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张</w:t>
            </w:r>
          </w:p>
        </w:tc>
      </w:tr>
      <w:tr>
        <w:tblPrEx>
          <w:shd w:val="clear"/>
          <w:tblCellMar>
            <w:top w:w="0" w:type="dxa"/>
            <w:left w:w="108" w:type="dxa"/>
            <w:bottom w:w="0" w:type="dxa"/>
            <w:right w:w="108" w:type="dxa"/>
          </w:tblCellMar>
        </w:tblPrEx>
        <w:trPr>
          <w:wAfter w:w="0" w:type="auto"/>
          <w:trHeight w:val="2220"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62</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餐椅</w:t>
            </w:r>
          </w:p>
        </w:tc>
        <w:tc>
          <w:tcPr>
            <w:tcW w:w="9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厂标</w:t>
            </w:r>
          </w:p>
        </w:tc>
        <w:tc>
          <w:tcPr>
            <w:tcW w:w="31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612775</wp:posOffset>
                  </wp:positionH>
                  <wp:positionV relativeFrom="paragraph">
                    <wp:posOffset>139700</wp:posOffset>
                  </wp:positionV>
                  <wp:extent cx="664210" cy="1217930"/>
                  <wp:effectExtent l="0" t="0" r="2540" b="1270"/>
                  <wp:wrapNone/>
                  <wp:docPr id="50" name="图片_2"/>
                  <wp:cNvGraphicFramePr/>
                  <a:graphic xmlns:a="http://schemas.openxmlformats.org/drawingml/2006/main">
                    <a:graphicData uri="http://schemas.openxmlformats.org/drawingml/2006/picture">
                      <pic:pic xmlns:pic="http://schemas.openxmlformats.org/drawingml/2006/picture">
                        <pic:nvPicPr>
                          <pic:cNvPr id="50" name="图片_2"/>
                          <pic:cNvPicPr/>
                        </pic:nvPicPr>
                        <pic:blipFill>
                          <a:blip r:embed="rId60"/>
                          <a:stretch>
                            <a:fillRect/>
                          </a:stretch>
                        </pic:blipFill>
                        <pic:spPr>
                          <a:xfrm>
                            <a:off x="0" y="0"/>
                            <a:ext cx="664210" cy="1217930"/>
                          </a:xfrm>
                          <a:prstGeom prst="rect">
                            <a:avLst/>
                          </a:prstGeom>
                          <a:noFill/>
                          <a:ln>
                            <a:noFill/>
                          </a:ln>
                        </pic:spPr>
                      </pic:pic>
                    </a:graphicData>
                  </a:graphic>
                </wp:anchor>
              </w:drawing>
            </w:r>
          </w:p>
        </w:tc>
        <w:tc>
          <w:tcPr>
            <w:tcW w:w="335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基材：全橡木。漆水：环保聚酯漆。工艺：三底两面。配件：优质五金配件。坐垫海棉采用优质海棉，软硬适中，回弹性能好，坐感舒适。面料采用优质布绒，柔软，透气性好，光泽持久，承重达250KG以上</w:t>
            </w:r>
          </w:p>
        </w:tc>
        <w:tc>
          <w:tcPr>
            <w:tcW w:w="48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w:t>
            </w:r>
          </w:p>
        </w:tc>
        <w:tc>
          <w:tcPr>
            <w:tcW w:w="545"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把</w:t>
            </w:r>
          </w:p>
        </w:tc>
      </w:tr>
      <w:tr>
        <w:tblPrEx>
          <w:tblCellMar>
            <w:top w:w="0" w:type="dxa"/>
            <w:left w:w="108" w:type="dxa"/>
            <w:bottom w:w="0" w:type="dxa"/>
            <w:right w:w="108" w:type="dxa"/>
          </w:tblCellMar>
        </w:tblPrEx>
        <w:trPr>
          <w:wAfter w:w="0" w:type="auto"/>
          <w:trHeight w:val="1542" w:hRule="atLeast"/>
        </w:trPr>
        <w:tc>
          <w:tcPr>
            <w:tcW w:w="4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63</w:t>
            </w:r>
          </w:p>
        </w:tc>
        <w:tc>
          <w:tcPr>
            <w:tcW w:w="7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餐桌</w:t>
            </w:r>
          </w:p>
        </w:tc>
        <w:tc>
          <w:tcPr>
            <w:tcW w:w="9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1600*700*760</w:t>
            </w:r>
          </w:p>
        </w:tc>
        <w:tc>
          <w:tcPr>
            <w:tcW w:w="3138" w:type="dxa"/>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107950</wp:posOffset>
                  </wp:positionH>
                  <wp:positionV relativeFrom="paragraph">
                    <wp:posOffset>972185</wp:posOffset>
                  </wp:positionV>
                  <wp:extent cx="1591945" cy="861695"/>
                  <wp:effectExtent l="0" t="0" r="8255" b="14605"/>
                  <wp:wrapNone/>
                  <wp:docPr id="47" name="图片_119"/>
                  <wp:cNvGraphicFramePr/>
                  <a:graphic xmlns:a="http://schemas.openxmlformats.org/drawingml/2006/main">
                    <a:graphicData uri="http://schemas.openxmlformats.org/drawingml/2006/picture">
                      <pic:pic xmlns:pic="http://schemas.openxmlformats.org/drawingml/2006/picture">
                        <pic:nvPicPr>
                          <pic:cNvPr id="47" name="图片_119"/>
                          <pic:cNvPicPr/>
                        </pic:nvPicPr>
                        <pic:blipFill>
                          <a:blip r:embed="rId61"/>
                          <a:stretch>
                            <a:fillRect/>
                          </a:stretch>
                        </pic:blipFill>
                        <pic:spPr>
                          <a:xfrm>
                            <a:off x="0" y="0"/>
                            <a:ext cx="1591945" cy="861695"/>
                          </a:xfrm>
                          <a:prstGeom prst="rect">
                            <a:avLst/>
                          </a:prstGeom>
                          <a:noFill/>
                          <a:ln>
                            <a:noFill/>
                          </a:ln>
                        </pic:spPr>
                      </pic:pic>
                    </a:graphicData>
                  </a:graphic>
                </wp:anchor>
              </w:drawing>
            </w:r>
          </w:p>
        </w:tc>
        <w:tc>
          <w:tcPr>
            <w:tcW w:w="3357"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1、基材：采用优质环保三聚氰胺板，板材的各项技术指标须符合《GB/T 15102-2017 浸渍胶膜纸饰面纤维板和刨花板》的要求，甲醛释放量符合国家强制性标准《GB 18580-2017 室内装饰装修材料 人造板及其制品中甲醛释放限量》要求，板材的甲醛释放量≤0.124mg/m³，表面耐干热、耐污染腐蚀、耐龟裂、耐水蒸汽；耐光色牢度﹥4级；</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2、封边条：采用优质PVC封边条，厚度不小于2mm。全自动封边，耐干热，无龟裂、无鼓泡；耐开裂性达到1级；封边条甲醛释放量≤1.5mg/L，各指标符合《QB/T 4463-2013 家具用封边条技术要求》的要求；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3、脚架：优质电镀脚架，承载力强，不易生锈。</w:t>
            </w:r>
          </w:p>
        </w:tc>
        <w:tc>
          <w:tcPr>
            <w:tcW w:w="490"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54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张</w:t>
            </w:r>
          </w:p>
        </w:tc>
      </w:tr>
      <w:tr>
        <w:tblPrEx>
          <w:shd w:val="clear"/>
          <w:tblCellMar>
            <w:top w:w="0" w:type="dxa"/>
            <w:left w:w="108" w:type="dxa"/>
            <w:bottom w:w="0" w:type="dxa"/>
            <w:right w:w="108" w:type="dxa"/>
          </w:tblCellMar>
        </w:tblPrEx>
        <w:trPr>
          <w:wAfter w:w="0" w:type="auto"/>
          <w:trHeight w:val="1542" w:hRule="atLeast"/>
        </w:trPr>
        <w:tc>
          <w:tcPr>
            <w:tcW w:w="490" w:type="dxa"/>
            <w:tcBorders>
              <w:top w:val="single" w:color="000000" w:sz="4" w:space="0"/>
              <w:left w:val="single" w:color="000000" w:sz="4" w:space="0"/>
              <w:bottom w:val="single" w:color="auto"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64</w:t>
            </w:r>
          </w:p>
        </w:tc>
        <w:tc>
          <w:tcPr>
            <w:tcW w:w="725" w:type="dxa"/>
            <w:tcBorders>
              <w:top w:val="single" w:color="000000" w:sz="4" w:space="0"/>
              <w:left w:val="single" w:color="000000" w:sz="4" w:space="0"/>
              <w:bottom w:val="single" w:color="auto"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餐椅</w:t>
            </w:r>
          </w:p>
        </w:tc>
        <w:tc>
          <w:tcPr>
            <w:tcW w:w="937" w:type="dxa"/>
            <w:tcBorders>
              <w:top w:val="single" w:color="000000" w:sz="4" w:space="0"/>
              <w:left w:val="single" w:color="000000" w:sz="4" w:space="0"/>
              <w:bottom w:val="single" w:color="auto"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厂标</w:t>
            </w:r>
          </w:p>
        </w:tc>
        <w:tc>
          <w:tcPr>
            <w:tcW w:w="3138" w:type="dxa"/>
            <w:vMerge w:val="continue"/>
            <w:tcBorders>
              <w:top w:val="single" w:color="000000" w:sz="4" w:space="0"/>
              <w:left w:val="single" w:color="000000" w:sz="4" w:space="0"/>
              <w:bottom w:val="single" w:color="auto"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3357" w:type="dxa"/>
            <w:vMerge w:val="continue"/>
            <w:tcBorders>
              <w:top w:val="single" w:color="000000" w:sz="4" w:space="0"/>
              <w:left w:val="single" w:color="000000" w:sz="4" w:space="0"/>
              <w:bottom w:val="single" w:color="auto"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490" w:type="dxa"/>
            <w:gridSpan w:val="2"/>
            <w:tcBorders>
              <w:top w:val="single" w:color="000000" w:sz="4" w:space="0"/>
              <w:left w:val="single" w:color="000000" w:sz="4" w:space="0"/>
              <w:bottom w:val="single" w:color="auto"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541" w:type="dxa"/>
            <w:tcBorders>
              <w:top w:val="single" w:color="000000" w:sz="4" w:space="0"/>
              <w:left w:val="single" w:color="000000" w:sz="4" w:space="0"/>
              <w:bottom w:val="single" w:color="auto"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把</w:t>
            </w:r>
          </w:p>
        </w:tc>
      </w:tr>
      <w:tr>
        <w:tblPrEx>
          <w:shd w:val="clear"/>
          <w:tblCellMar>
            <w:top w:w="0" w:type="dxa"/>
            <w:left w:w="108" w:type="dxa"/>
            <w:bottom w:w="0" w:type="dxa"/>
            <w:right w:w="108" w:type="dxa"/>
          </w:tblCellMar>
        </w:tblPrEx>
        <w:trPr>
          <w:wAfter w:w="0" w:type="auto"/>
          <w:trHeight w:val="2419" w:hRule="atLeast"/>
        </w:trPr>
        <w:tc>
          <w:tcPr>
            <w:tcW w:w="490" w:type="dxa"/>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22"/>
                <w:szCs w:val="22"/>
                <w:u w:val="none"/>
                <w:lang w:val="en-US" w:eastAsia="zh-CN" w:bidi="ar"/>
              </w:rPr>
              <w:t>65</w:t>
            </w:r>
          </w:p>
        </w:tc>
        <w:tc>
          <w:tcPr>
            <w:tcW w:w="725" w:type="dxa"/>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洽谈桌椅</w:t>
            </w:r>
          </w:p>
        </w:tc>
        <w:tc>
          <w:tcPr>
            <w:tcW w:w="937"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w:t>
            </w:r>
          </w:p>
        </w:tc>
        <w:tc>
          <w:tcPr>
            <w:tcW w:w="313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24130</wp:posOffset>
                  </wp:positionH>
                  <wp:positionV relativeFrom="paragraph">
                    <wp:posOffset>163195</wp:posOffset>
                  </wp:positionV>
                  <wp:extent cx="1840230" cy="1366520"/>
                  <wp:effectExtent l="0" t="0" r="7620" b="5080"/>
                  <wp:wrapNone/>
                  <wp:docPr id="51" name="图片_127"/>
                  <wp:cNvGraphicFramePr/>
                  <a:graphic xmlns:a="http://schemas.openxmlformats.org/drawingml/2006/main">
                    <a:graphicData uri="http://schemas.openxmlformats.org/drawingml/2006/picture">
                      <pic:pic xmlns:pic="http://schemas.openxmlformats.org/drawingml/2006/picture">
                        <pic:nvPicPr>
                          <pic:cNvPr id="51" name="图片_127"/>
                          <pic:cNvPicPr/>
                        </pic:nvPicPr>
                        <pic:blipFill>
                          <a:blip r:embed="rId62"/>
                          <a:stretch>
                            <a:fillRect/>
                          </a:stretch>
                        </pic:blipFill>
                        <pic:spPr>
                          <a:xfrm>
                            <a:off x="0" y="0"/>
                            <a:ext cx="1840230" cy="1366520"/>
                          </a:xfrm>
                          <a:prstGeom prst="rect">
                            <a:avLst/>
                          </a:prstGeom>
                          <a:noFill/>
                          <a:ln>
                            <a:noFill/>
                          </a:ln>
                        </pic:spPr>
                      </pic:pic>
                    </a:graphicData>
                  </a:graphic>
                </wp:anchor>
              </w:drawing>
            </w:r>
          </w:p>
        </w:tc>
        <w:tc>
          <w:tcPr>
            <w:tcW w:w="3357" w:type="dxa"/>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1、桌面基材：实木，木材经干燥、防虫、防腐处理，木材全干密度≧0.50g/cm³，含水率低于16%；甲醛释放量≤1.5mg/L；</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2、椅子饰面：优质韩皮饰面，耐拉扯、耐刮痕，纹理清晰防水，柔软耐磨；</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3、椅子海绵：海绵颜色均匀、无污染、无刺激性气味，回弹率≧50%，拉伸强度≧100kPa；</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4、电镀钢脚架。</w:t>
            </w:r>
          </w:p>
        </w:tc>
        <w:tc>
          <w:tcPr>
            <w:tcW w:w="490" w:type="dxa"/>
            <w:gridSpan w:val="2"/>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541" w:type="dxa"/>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组</w:t>
            </w:r>
          </w:p>
        </w:tc>
      </w:tr>
    </w:tbl>
    <w:p>
      <w:pPr>
        <w:rPr>
          <w:lang w:val="zh-CN"/>
        </w:rPr>
      </w:pPr>
    </w:p>
    <w:p>
      <w:pPr>
        <w:pStyle w:val="4"/>
        <w:jc w:val="center"/>
        <w:rPr>
          <w:rFonts w:hint="default" w:eastAsia="宋体"/>
          <w:sz w:val="30"/>
          <w:szCs w:val="30"/>
          <w:lang w:val="en-US" w:eastAsia="zh-CN"/>
        </w:rPr>
      </w:pPr>
      <w:r>
        <w:rPr>
          <w:rFonts w:hint="eastAsia"/>
          <w:sz w:val="30"/>
          <w:szCs w:val="30"/>
          <w:lang w:val="en-US" w:eastAsia="zh-CN"/>
        </w:rPr>
        <w:t>附件一 ：手动无轨密集架材质要求</w:t>
      </w:r>
    </w:p>
    <w:p>
      <w:pPr>
        <w:pStyle w:val="4"/>
        <w:rPr>
          <w:sz w:val="24"/>
          <w:szCs w:val="24"/>
        </w:rPr>
      </w:pPr>
      <w:r>
        <w:rPr>
          <w:rFonts w:hint="eastAsia"/>
          <w:sz w:val="24"/>
          <w:szCs w:val="24"/>
        </w:rPr>
        <w:t>（一）密集架架体要求：</w:t>
      </w:r>
    </w:p>
    <w:p>
      <w:pPr>
        <w:spacing w:line="480" w:lineRule="auto"/>
        <w:ind w:firstLine="700" w:firstLineChars="250"/>
        <w:rPr>
          <w:rFonts w:ascii="宋体" w:hAnsi="宋体"/>
          <w:color w:val="000000"/>
          <w:sz w:val="28"/>
        </w:rPr>
      </w:pPr>
      <w:r>
        <w:rPr>
          <w:rFonts w:hint="eastAsia" w:ascii="宋体" w:hAnsi="宋体"/>
          <w:color w:val="000000"/>
          <w:sz w:val="28"/>
        </w:rPr>
        <w:t>密集架主要由侧面导正系统、底盘、传动机构和架体（包括立柱、挂板、搁板、档书条、顶板、门框、门板及侧护板）等零（部）件组成。架顶设有防尘装置，列与列之间装有2</w:t>
      </w:r>
      <w:r>
        <w:rPr>
          <w:rFonts w:ascii="宋体" w:hAnsi="宋体"/>
          <w:color w:val="000000"/>
          <w:sz w:val="28"/>
        </w:rPr>
        <w:t>5</w:t>
      </w:r>
      <w:r>
        <w:rPr>
          <w:rFonts w:hint="eastAsia" w:ascii="宋体" w:hAnsi="宋体"/>
          <w:color w:val="000000"/>
          <w:sz w:val="28"/>
        </w:rPr>
        <w:t>mm厚特种抗老化橡塑磁性密封条，门面列和移动列分别装有锁具和制动装置，每组密集架闭合后可用总锁锁住，形成一个封闭的整体，各列移开后可单独制动，整个架体具有良好的防尘、防潮、防火、防盗和保密功能。</w:t>
      </w:r>
    </w:p>
    <w:p>
      <w:pPr>
        <w:pStyle w:val="29"/>
        <w:numPr>
          <w:ilvl w:val="0"/>
          <w:numId w:val="2"/>
        </w:numPr>
        <w:ind w:firstLineChars="0"/>
        <w:rPr>
          <w:rFonts w:ascii="宋体" w:hAnsi="宋体"/>
          <w:color w:val="000000"/>
          <w:sz w:val="28"/>
          <w:szCs w:val="28"/>
        </w:rPr>
      </w:pPr>
      <w:r>
        <w:rPr>
          <w:rFonts w:hint="eastAsia" w:ascii="宋体" w:hAnsi="宋体"/>
          <w:sz w:val="28"/>
          <w:szCs w:val="28"/>
        </w:rPr>
        <w:t>★</w:t>
      </w:r>
      <w:r>
        <w:rPr>
          <w:rFonts w:hint="eastAsia" w:ascii="宋体" w:hAnsi="宋体"/>
          <w:color w:val="000000"/>
          <w:sz w:val="28"/>
          <w:szCs w:val="28"/>
        </w:rPr>
        <w:t>立柱:材料厚度δ≥1.</w:t>
      </w:r>
      <w:r>
        <w:rPr>
          <w:rFonts w:ascii="宋体" w:hAnsi="宋体"/>
          <w:color w:val="000000"/>
          <w:sz w:val="28"/>
          <w:szCs w:val="28"/>
        </w:rPr>
        <w:t>1</w:t>
      </w:r>
      <w:r>
        <w:rPr>
          <w:rFonts w:hint="eastAsia" w:ascii="宋体" w:hAnsi="宋体"/>
          <w:color w:val="000000"/>
          <w:sz w:val="28"/>
          <w:szCs w:val="28"/>
        </w:rPr>
        <w:t>mm，中列立柱正面宽度为≥45mm，立柱正面压一条宽的加强筋，加强筋上压有纹路造型，两侧面各压两条的加强筋，共五条加强筋，（如</w:t>
      </w:r>
      <w:r>
        <w:rPr>
          <w:rFonts w:ascii="宋体" w:hAnsi="宋体"/>
          <w:color w:val="000000"/>
          <w:sz w:val="28"/>
          <w:szCs w:val="28"/>
        </w:rPr>
        <w:t>下图所示</w:t>
      </w:r>
      <w:r>
        <w:rPr>
          <w:rFonts w:hint="eastAsia" w:ascii="宋体" w:hAnsi="宋体"/>
          <w:color w:val="000000"/>
          <w:sz w:val="28"/>
          <w:szCs w:val="28"/>
        </w:rPr>
        <w:t>）立柱压筋后单根立柱的承载能力较之以前有大幅度的提高。边列立柱与门框合为一体，其侧面的宽度为≥61mm，不压加强筋，确保外观光滑平整。</w:t>
      </w:r>
    </w:p>
    <w:p>
      <w:pPr>
        <w:jc w:val="center"/>
        <w:rPr>
          <w:rFonts w:ascii="宋体" w:hAnsi="宋体" w:cs="宋体"/>
          <w:color w:val="000000"/>
          <w:kern w:val="0"/>
          <w:sz w:val="24"/>
        </w:rPr>
      </w:pPr>
      <w:r>
        <w:drawing>
          <wp:inline distT="0" distB="0" distL="0" distR="0">
            <wp:extent cx="2057400" cy="1583055"/>
            <wp:effectExtent l="0" t="0" r="0" b="1714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057400" cy="1583055"/>
                    </a:xfrm>
                    <a:prstGeom prst="rect">
                      <a:avLst/>
                    </a:prstGeom>
                    <a:noFill/>
                    <a:ln>
                      <a:noFill/>
                    </a:ln>
                  </pic:spPr>
                </pic:pic>
              </a:graphicData>
            </a:graphic>
          </wp:inline>
        </w:drawing>
      </w:r>
      <w:r>
        <w:t xml:space="preserve">   </w:t>
      </w:r>
      <w:r>
        <w:drawing>
          <wp:inline distT="0" distB="0" distL="0" distR="0">
            <wp:extent cx="3379470" cy="1468120"/>
            <wp:effectExtent l="0" t="0" r="11430"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379470" cy="1468120"/>
                    </a:xfrm>
                    <a:prstGeom prst="rect">
                      <a:avLst/>
                    </a:prstGeom>
                    <a:noFill/>
                    <a:ln>
                      <a:noFill/>
                    </a:ln>
                  </pic:spPr>
                </pic:pic>
              </a:graphicData>
            </a:graphic>
          </wp:inline>
        </w:drawing>
      </w:r>
    </w:p>
    <w:p>
      <w:pPr>
        <w:rPr>
          <w:rFonts w:ascii="宋体" w:hAnsi="宋体" w:cs="宋体"/>
          <w:color w:val="000000"/>
          <w:kern w:val="0"/>
          <w:sz w:val="24"/>
        </w:rPr>
      </w:pPr>
      <w:r>
        <w:rPr>
          <w:rFonts w:hint="eastAsia" w:ascii="宋体" w:hAnsi="宋体" w:cs="宋体"/>
          <w:color w:val="000000"/>
          <w:kern w:val="0"/>
          <w:sz w:val="24"/>
        </w:rPr>
        <w:t xml:space="preserve">        中列立柱示意图（一）               </w:t>
      </w:r>
      <w:r>
        <w:rPr>
          <w:rFonts w:ascii="宋体" w:hAnsi="宋体" w:cs="宋体"/>
          <w:color w:val="000000"/>
          <w:kern w:val="0"/>
          <w:sz w:val="24"/>
        </w:rPr>
        <w:t xml:space="preserve">     </w:t>
      </w:r>
      <w:r>
        <w:rPr>
          <w:rFonts w:hint="eastAsia" w:ascii="宋体" w:hAnsi="宋体" w:cs="宋体"/>
          <w:color w:val="000000"/>
          <w:kern w:val="0"/>
          <w:sz w:val="24"/>
        </w:rPr>
        <w:t>中列立柱示意图（二）</w:t>
      </w:r>
    </w:p>
    <w:p>
      <w:pPr>
        <w:rPr>
          <w:rFonts w:ascii="宋体" w:hAnsi="宋体" w:cs="宋体"/>
          <w:color w:val="000000"/>
          <w:kern w:val="0"/>
          <w:sz w:val="24"/>
        </w:rPr>
      </w:pPr>
    </w:p>
    <w:p>
      <w:pPr>
        <w:pStyle w:val="29"/>
        <w:numPr>
          <w:ilvl w:val="0"/>
          <w:numId w:val="2"/>
        </w:numPr>
        <w:ind w:firstLineChars="0"/>
        <w:rPr>
          <w:rFonts w:ascii="宋体" w:hAnsi="宋体"/>
          <w:color w:val="000000"/>
          <w:sz w:val="28"/>
          <w:szCs w:val="28"/>
        </w:rPr>
      </w:pPr>
      <w:r>
        <w:rPr>
          <w:rFonts w:hint="eastAsia" w:ascii="宋体" w:hAnsi="宋体"/>
          <w:sz w:val="28"/>
          <w:szCs w:val="28"/>
        </w:rPr>
        <w:t>★</w:t>
      </w:r>
      <w:r>
        <w:rPr>
          <w:rFonts w:hint="eastAsia" w:ascii="宋体" w:hAnsi="宋体"/>
          <w:color w:val="000000"/>
          <w:sz w:val="28"/>
          <w:szCs w:val="28"/>
        </w:rPr>
        <w:t>搁板、挂板：材料厚度δ≥</w:t>
      </w:r>
      <w:r>
        <w:rPr>
          <w:rFonts w:ascii="宋体" w:hAnsi="宋体"/>
          <w:color w:val="000000"/>
          <w:sz w:val="28"/>
          <w:szCs w:val="28"/>
        </w:rPr>
        <w:t>0.9</w:t>
      </w:r>
      <w:r>
        <w:rPr>
          <w:rFonts w:hint="eastAsia" w:ascii="宋体" w:hAnsi="宋体"/>
          <w:color w:val="000000"/>
          <w:sz w:val="28"/>
          <w:szCs w:val="28"/>
        </w:rPr>
        <w:t>mm，搁板采用六次折弯成型以增强其承载力，上几层搁板采用全自动滚压一次成型；搁板上面压八条加强筋，两侧面各压两条加强筋，底层搁板不压加强筋，并且两张搁板之间缝隙小于2mm，起到防鼠、防尘，底层搁板一边高度为24mm，放在挂板上，另一边高度为36mm，直接放到底盘上，保证每张搁板均匀载重不少于</w:t>
      </w:r>
      <w:r>
        <w:rPr>
          <w:rFonts w:ascii="宋体" w:hAnsi="宋体"/>
          <w:color w:val="000000"/>
          <w:sz w:val="28"/>
          <w:szCs w:val="28"/>
        </w:rPr>
        <w:t>50</w:t>
      </w:r>
      <w:r>
        <w:rPr>
          <w:rFonts w:hint="eastAsia" w:ascii="宋体" w:hAnsi="宋体"/>
          <w:color w:val="000000"/>
          <w:sz w:val="28"/>
          <w:szCs w:val="28"/>
        </w:rPr>
        <w:t>KG（每层两张搁板）；挂板上面压四条加强筋，挂板两端压自锁扣，与搁板孔配合（下图所示），起到装配自锁，加强架体稳定性。</w:t>
      </w:r>
    </w:p>
    <w:p>
      <w:pPr>
        <w:spacing w:line="276" w:lineRule="auto"/>
        <w:rPr>
          <w:rFonts w:ascii="宋体" w:hAnsi="宋体" w:cs="宋体"/>
          <w:color w:val="000000"/>
          <w:kern w:val="0"/>
          <w:sz w:val="24"/>
        </w:rPr>
      </w:pPr>
    </w:p>
    <w:p>
      <w:pPr>
        <w:spacing w:line="276" w:lineRule="auto"/>
        <w:jc w:val="center"/>
        <w:rPr>
          <w:rFonts w:ascii="宋体" w:hAnsi="宋体" w:cs="宋体"/>
          <w:color w:val="000000"/>
          <w:kern w:val="0"/>
          <w:sz w:val="24"/>
        </w:rPr>
      </w:pPr>
      <w:r>
        <w:drawing>
          <wp:inline distT="0" distB="0" distL="0" distR="0">
            <wp:extent cx="4034155" cy="624840"/>
            <wp:effectExtent l="0" t="0" r="4445"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4034155" cy="624840"/>
                    </a:xfrm>
                    <a:prstGeom prst="rect">
                      <a:avLst/>
                    </a:prstGeom>
                    <a:noFill/>
                    <a:ln>
                      <a:noFill/>
                    </a:ln>
                  </pic:spPr>
                </pic:pic>
              </a:graphicData>
            </a:graphic>
          </wp:inline>
        </w:drawing>
      </w:r>
    </w:p>
    <w:p>
      <w:pPr>
        <w:spacing w:line="276" w:lineRule="auto"/>
        <w:jc w:val="center"/>
        <w:rPr>
          <w:rFonts w:ascii="宋体" w:hAnsi="宋体" w:cs="宋体"/>
          <w:color w:val="000000"/>
          <w:kern w:val="0"/>
          <w:sz w:val="24"/>
        </w:rPr>
      </w:pPr>
      <w:r>
        <w:rPr>
          <w:rFonts w:ascii="宋体" w:hAnsi="宋体" w:cs="宋体"/>
          <w:color w:val="000000"/>
          <w:kern w:val="0"/>
          <w:sz w:val="24"/>
        </w:rPr>
        <w:t>搁板</w:t>
      </w:r>
      <w:r>
        <w:rPr>
          <w:rFonts w:hint="eastAsia" w:ascii="宋体" w:hAnsi="宋体" w:cs="宋体"/>
          <w:color w:val="000000"/>
          <w:kern w:val="0"/>
          <w:sz w:val="24"/>
        </w:rPr>
        <w:t>示意图</w:t>
      </w:r>
    </w:p>
    <w:p>
      <w:pPr>
        <w:spacing w:line="276" w:lineRule="auto"/>
        <w:jc w:val="center"/>
        <w:rPr>
          <w:rFonts w:ascii="宋体" w:hAnsi="宋体" w:cs="宋体"/>
          <w:kern w:val="0"/>
          <w:sz w:val="24"/>
        </w:rPr>
      </w:pPr>
      <w:r>
        <w:rPr>
          <w:rFonts w:ascii="宋体" w:hAnsi="宋体" w:cs="宋体"/>
          <w:color w:val="000000"/>
          <w:kern w:val="0"/>
          <w:sz w:val="24"/>
        </w:rPr>
        <w:drawing>
          <wp:inline distT="0" distB="0" distL="0" distR="0">
            <wp:extent cx="2536190" cy="1069975"/>
            <wp:effectExtent l="0" t="0" r="16510" b="15875"/>
            <wp:docPr id="4" name="图片 6" descr="挂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挂板2"/>
                    <pic:cNvPicPr>
                      <a:picLocks noChangeAspect="1" noChangeArrowheads="1"/>
                    </pic:cNvPicPr>
                  </pic:nvPicPr>
                  <pic:blipFill>
                    <a:blip r:embed="rId66" cstate="print">
                      <a:extLst>
                        <a:ext uri="{28A0092B-C50C-407E-A947-70E740481C1C}">
                          <a14:useLocalDpi xmlns:a14="http://schemas.microsoft.com/office/drawing/2010/main" val="0"/>
                        </a:ext>
                      </a:extLst>
                    </a:blip>
                    <a:srcRect t="25745"/>
                    <a:stretch>
                      <a:fillRect/>
                    </a:stretch>
                  </pic:blipFill>
                  <pic:spPr>
                    <a:xfrm>
                      <a:off x="0" y="0"/>
                      <a:ext cx="2536190" cy="1069975"/>
                    </a:xfrm>
                    <a:prstGeom prst="rect">
                      <a:avLst/>
                    </a:prstGeom>
                    <a:noFill/>
                    <a:ln>
                      <a:noFill/>
                    </a:ln>
                  </pic:spPr>
                </pic:pic>
              </a:graphicData>
            </a:graphic>
          </wp:inline>
        </w:drawing>
      </w:r>
      <w:r>
        <w:rPr>
          <w:rFonts w:ascii="宋体" w:hAnsi="宋体" w:cs="宋体"/>
          <w:color w:val="000000"/>
          <w:kern w:val="0"/>
          <w:sz w:val="24"/>
        </w:rPr>
        <w:t xml:space="preserve">    </w:t>
      </w:r>
      <w:r>
        <w:drawing>
          <wp:inline distT="0" distB="0" distL="0" distR="0">
            <wp:extent cx="2771140" cy="878205"/>
            <wp:effectExtent l="0" t="0" r="10160" b="1714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771140" cy="878205"/>
                    </a:xfrm>
                    <a:prstGeom prst="rect">
                      <a:avLst/>
                    </a:prstGeom>
                    <a:noFill/>
                    <a:ln>
                      <a:noFill/>
                    </a:ln>
                  </pic:spPr>
                </pic:pic>
              </a:graphicData>
            </a:graphic>
          </wp:inline>
        </w:drawing>
      </w:r>
    </w:p>
    <w:p>
      <w:pPr>
        <w:spacing w:line="276" w:lineRule="auto"/>
        <w:jc w:val="center"/>
        <w:rPr>
          <w:rFonts w:ascii="宋体" w:hAnsi="宋体" w:cs="宋体"/>
          <w:color w:val="000000"/>
          <w:kern w:val="0"/>
          <w:sz w:val="24"/>
        </w:rPr>
      </w:pPr>
      <w:r>
        <w:rPr>
          <w:rFonts w:hint="eastAsia" w:ascii="宋体" w:hAnsi="宋体" w:cs="宋体"/>
          <w:color w:val="000000"/>
          <w:kern w:val="0"/>
          <w:sz w:val="24"/>
        </w:rPr>
        <w:t>挂</w:t>
      </w:r>
      <w:r>
        <w:rPr>
          <w:rFonts w:ascii="宋体" w:hAnsi="宋体" w:cs="宋体"/>
          <w:color w:val="000000"/>
          <w:kern w:val="0"/>
          <w:sz w:val="24"/>
        </w:rPr>
        <w:t>板</w:t>
      </w:r>
      <w:r>
        <w:rPr>
          <w:rFonts w:hint="eastAsia" w:ascii="宋体" w:hAnsi="宋体" w:cs="宋体"/>
          <w:color w:val="000000"/>
          <w:kern w:val="0"/>
          <w:sz w:val="24"/>
        </w:rPr>
        <w:t>示意图（一）               挂</w:t>
      </w:r>
      <w:r>
        <w:rPr>
          <w:rFonts w:ascii="宋体" w:hAnsi="宋体" w:cs="宋体"/>
          <w:color w:val="000000"/>
          <w:kern w:val="0"/>
          <w:sz w:val="24"/>
        </w:rPr>
        <w:t>板</w:t>
      </w:r>
      <w:r>
        <w:rPr>
          <w:rFonts w:hint="eastAsia" w:ascii="宋体" w:hAnsi="宋体" w:cs="宋体"/>
          <w:color w:val="000000"/>
          <w:kern w:val="0"/>
          <w:sz w:val="24"/>
        </w:rPr>
        <w:t>示意图（二）</w:t>
      </w:r>
    </w:p>
    <w:p>
      <w:pPr>
        <w:pStyle w:val="29"/>
        <w:numPr>
          <w:ilvl w:val="0"/>
          <w:numId w:val="2"/>
        </w:numPr>
        <w:ind w:firstLineChars="0"/>
        <w:rPr>
          <w:rFonts w:ascii="宋体" w:hAnsi="宋体"/>
          <w:color w:val="000000"/>
          <w:sz w:val="28"/>
          <w:szCs w:val="28"/>
        </w:rPr>
      </w:pPr>
      <w:r>
        <w:rPr>
          <w:rFonts w:hint="eastAsia" w:ascii="宋体" w:hAnsi="宋体"/>
          <w:sz w:val="28"/>
          <w:szCs w:val="28"/>
        </w:rPr>
        <w:t>★</w:t>
      </w:r>
      <w:r>
        <w:rPr>
          <w:rFonts w:hint="eastAsia" w:ascii="宋体" w:hAnsi="宋体"/>
          <w:color w:val="000000"/>
          <w:sz w:val="28"/>
          <w:szCs w:val="28"/>
        </w:rPr>
        <w:t>挡书条：采用优质冷轧钢板，材料厚度δ≥</w:t>
      </w:r>
      <w:r>
        <w:rPr>
          <w:rFonts w:ascii="宋体" w:hAnsi="宋体"/>
          <w:color w:val="000000"/>
          <w:sz w:val="28"/>
          <w:szCs w:val="28"/>
        </w:rPr>
        <w:t>0.8</w:t>
      </w:r>
      <w:r>
        <w:rPr>
          <w:rFonts w:hint="eastAsia" w:ascii="宋体" w:hAnsi="宋体"/>
          <w:color w:val="000000"/>
          <w:sz w:val="28"/>
          <w:szCs w:val="28"/>
        </w:rPr>
        <w:t>mm，采用全自动滚压一次成型，四次折弯，并压三条加强筋，与挂板配合处有防脱落倒扣，防止挡条脱落（下图所示），以增加整个架体的稳定性。</w:t>
      </w:r>
    </w:p>
    <w:p>
      <w:pPr>
        <w:spacing w:line="276" w:lineRule="auto"/>
        <w:jc w:val="center"/>
        <w:rPr>
          <w:rFonts w:ascii="宋体" w:hAnsi="宋体" w:cs="宋体"/>
          <w:color w:val="000000"/>
          <w:kern w:val="0"/>
          <w:sz w:val="24"/>
        </w:rPr>
      </w:pPr>
      <w:r>
        <w:rPr>
          <w:color w:val="000000"/>
          <w:sz w:val="24"/>
        </w:rPr>
        <w:drawing>
          <wp:inline distT="0" distB="0" distL="0" distR="0">
            <wp:extent cx="2993390" cy="1578610"/>
            <wp:effectExtent l="0" t="0" r="16510" b="254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68" cstate="print">
                      <a:extLst>
                        <a:ext uri="{28A0092B-C50C-407E-A947-70E740481C1C}">
                          <a14:useLocalDpi xmlns:a14="http://schemas.microsoft.com/office/drawing/2010/main" val="0"/>
                        </a:ext>
                      </a:extLst>
                    </a:blip>
                    <a:srcRect l="3378" t="6754" r="3540" b="13135"/>
                    <a:stretch>
                      <a:fillRect/>
                    </a:stretch>
                  </pic:blipFill>
                  <pic:spPr>
                    <a:xfrm>
                      <a:off x="0" y="0"/>
                      <a:ext cx="2993390" cy="1578610"/>
                    </a:xfrm>
                    <a:prstGeom prst="rect">
                      <a:avLst/>
                    </a:prstGeom>
                    <a:noFill/>
                    <a:ln>
                      <a:noFill/>
                    </a:ln>
                  </pic:spPr>
                </pic:pic>
              </a:graphicData>
            </a:graphic>
          </wp:inline>
        </w:drawing>
      </w:r>
      <w:r>
        <w:rPr>
          <w:rFonts w:hint="eastAsia"/>
          <w:color w:val="000000"/>
          <w:sz w:val="24"/>
        </w:rPr>
        <w:t xml:space="preserve">  </w:t>
      </w:r>
      <w:r>
        <w:drawing>
          <wp:inline distT="0" distB="0" distL="0" distR="0">
            <wp:extent cx="2078990" cy="1587500"/>
            <wp:effectExtent l="0" t="0" r="16510"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078990" cy="1587500"/>
                    </a:xfrm>
                    <a:prstGeom prst="rect">
                      <a:avLst/>
                    </a:prstGeom>
                    <a:noFill/>
                    <a:ln>
                      <a:noFill/>
                    </a:ln>
                  </pic:spPr>
                </pic:pic>
              </a:graphicData>
            </a:graphic>
          </wp:inline>
        </w:drawing>
      </w:r>
      <w:r>
        <w:rPr>
          <w:rFonts w:hint="eastAsia"/>
          <w:color w:val="000000"/>
          <w:sz w:val="24"/>
        </w:rPr>
        <w:t xml:space="preserve"> </w:t>
      </w:r>
      <w:r>
        <w:rPr>
          <w:rFonts w:hint="eastAsia" w:ascii="宋体" w:hAnsi="宋体" w:cs="宋体"/>
          <w:color w:val="000000"/>
          <w:kern w:val="0"/>
          <w:sz w:val="24"/>
        </w:rPr>
        <w:t xml:space="preserve">          </w:t>
      </w:r>
    </w:p>
    <w:p>
      <w:pPr>
        <w:jc w:val="center"/>
        <w:rPr>
          <w:sz w:val="24"/>
        </w:rPr>
      </w:pPr>
      <w:r>
        <w:rPr>
          <w:rFonts w:hint="eastAsia"/>
          <w:sz w:val="24"/>
        </w:rPr>
        <w:t xml:space="preserve">    挡书条示意图（一）                       挡条示意图（二）</w:t>
      </w:r>
    </w:p>
    <w:p>
      <w:pPr>
        <w:pStyle w:val="29"/>
        <w:numPr>
          <w:ilvl w:val="0"/>
          <w:numId w:val="2"/>
        </w:numPr>
        <w:ind w:firstLineChars="0"/>
        <w:rPr>
          <w:rFonts w:ascii="宋体" w:hAnsi="宋体"/>
          <w:color w:val="000000"/>
          <w:sz w:val="28"/>
          <w:szCs w:val="28"/>
        </w:rPr>
      </w:pPr>
      <w:r>
        <w:rPr>
          <w:rFonts w:hint="eastAsia" w:ascii="宋体" w:hAnsi="宋体"/>
          <w:color w:val="000000"/>
          <w:sz w:val="28"/>
          <w:szCs w:val="28"/>
        </w:rPr>
        <w:t>门框材料厚度δ≥1.1</w:t>
      </w:r>
      <w:r>
        <w:rPr>
          <w:rFonts w:ascii="宋体" w:hAnsi="宋体"/>
          <w:color w:val="000000"/>
          <w:sz w:val="28"/>
          <w:szCs w:val="28"/>
        </w:rPr>
        <w:t>mm</w:t>
      </w:r>
      <w:r>
        <w:rPr>
          <w:rFonts w:hint="eastAsia" w:ascii="宋体" w:hAnsi="宋体"/>
          <w:color w:val="000000"/>
          <w:sz w:val="28"/>
          <w:szCs w:val="28"/>
        </w:rPr>
        <w:t>，门板、防尘板、顶板、钢制侧板材料厚度δ≥</w:t>
      </w:r>
      <w:r>
        <w:rPr>
          <w:rFonts w:ascii="宋体" w:hAnsi="宋体"/>
          <w:color w:val="000000"/>
          <w:sz w:val="28"/>
          <w:szCs w:val="28"/>
        </w:rPr>
        <w:t>0.7</w:t>
      </w:r>
      <w:r>
        <w:rPr>
          <w:rFonts w:hint="eastAsia" w:ascii="宋体" w:hAnsi="宋体"/>
          <w:color w:val="000000"/>
          <w:sz w:val="28"/>
          <w:szCs w:val="28"/>
        </w:rPr>
        <w:t>mm。</w:t>
      </w:r>
      <w:r>
        <w:rPr>
          <w:rFonts w:ascii="宋体" w:hAnsi="宋体"/>
          <w:color w:val="000000"/>
          <w:sz w:val="28"/>
          <w:szCs w:val="28"/>
        </w:rPr>
        <w:t xml:space="preserve"> </w:t>
      </w:r>
    </w:p>
    <w:p>
      <w:pPr>
        <w:pStyle w:val="29"/>
        <w:numPr>
          <w:ilvl w:val="0"/>
          <w:numId w:val="2"/>
        </w:numPr>
        <w:ind w:firstLineChars="0"/>
        <w:rPr>
          <w:rFonts w:ascii="宋体" w:hAnsi="宋体"/>
          <w:color w:val="000000"/>
          <w:sz w:val="28"/>
          <w:szCs w:val="28"/>
        </w:rPr>
      </w:pPr>
      <w:r>
        <w:rPr>
          <w:rFonts w:hint="eastAsia" w:ascii="宋体" w:hAnsi="宋体"/>
          <w:sz w:val="28"/>
          <w:szCs w:val="28"/>
        </w:rPr>
        <w:t>★</w:t>
      </w:r>
      <w:r>
        <w:rPr>
          <w:rFonts w:hint="eastAsia" w:ascii="宋体" w:hAnsi="宋体"/>
          <w:color w:val="000000"/>
          <w:sz w:val="28"/>
          <w:szCs w:val="28"/>
        </w:rPr>
        <w:t>底盘厚度（含横、纵梁及轮架组合）采用材料厚度δ≥</w:t>
      </w:r>
      <w:r>
        <w:rPr>
          <w:rFonts w:ascii="宋体" w:hAnsi="宋体"/>
          <w:color w:val="000000"/>
          <w:sz w:val="28"/>
          <w:szCs w:val="28"/>
        </w:rPr>
        <w:t>2.5</w:t>
      </w:r>
      <w:r>
        <w:rPr>
          <w:rFonts w:hint="eastAsia" w:ascii="宋体" w:hAnsi="宋体"/>
          <w:color w:val="000000"/>
          <w:sz w:val="28"/>
          <w:szCs w:val="28"/>
        </w:rPr>
        <w:t xml:space="preserve"> mm热轧钢板制作，底盘净高度为140 mm（±2㎜）。采用分段焊接后整体组装式，纵梁上按节距冲有矩形槽，以供立柱插入后用螺栓拧固。底盘两端封头横梁与纵梁牢固焊接，保证底盘架体不扭曲、错位和变形等。</w:t>
      </w:r>
    </w:p>
    <w:p>
      <w:pPr>
        <w:pStyle w:val="4"/>
        <w:rPr>
          <w:sz w:val="24"/>
          <w:szCs w:val="24"/>
        </w:rPr>
      </w:pPr>
      <w:r>
        <w:rPr>
          <w:rFonts w:hint="eastAsia"/>
          <w:sz w:val="24"/>
          <w:szCs w:val="24"/>
        </w:rPr>
        <w:t>（二）传动机构：</w:t>
      </w:r>
    </w:p>
    <w:p>
      <w:pPr>
        <w:pStyle w:val="29"/>
        <w:numPr>
          <w:ilvl w:val="0"/>
          <w:numId w:val="3"/>
        </w:numPr>
        <w:ind w:firstLineChars="0"/>
        <w:rPr>
          <w:rFonts w:ascii="宋体" w:hAnsi="宋体"/>
          <w:color w:val="000000"/>
          <w:sz w:val="28"/>
          <w:szCs w:val="28"/>
        </w:rPr>
      </w:pPr>
      <w:r>
        <w:rPr>
          <w:rFonts w:hint="eastAsia" w:ascii="宋体" w:hAnsi="宋体"/>
          <w:color w:val="000000"/>
          <w:sz w:val="28"/>
          <w:szCs w:val="28"/>
        </w:rPr>
        <w:t>轴承：204＃平面轴承，精度≥P6级（E）。</w:t>
      </w:r>
    </w:p>
    <w:p>
      <w:pPr>
        <w:pStyle w:val="29"/>
        <w:numPr>
          <w:ilvl w:val="0"/>
          <w:numId w:val="3"/>
        </w:numPr>
        <w:ind w:firstLineChars="0"/>
        <w:rPr>
          <w:rFonts w:ascii="宋体" w:hAnsi="宋体"/>
          <w:color w:val="000000"/>
          <w:sz w:val="28"/>
          <w:szCs w:val="28"/>
        </w:rPr>
      </w:pPr>
      <w:r>
        <w:rPr>
          <w:rFonts w:hint="eastAsia" w:ascii="宋体" w:hAnsi="宋体"/>
          <w:color w:val="000000"/>
          <w:sz w:val="28"/>
          <w:szCs w:val="28"/>
        </w:rPr>
        <w:t xml:space="preserve">精密链轮：45#。 </w:t>
      </w:r>
    </w:p>
    <w:p>
      <w:pPr>
        <w:pStyle w:val="29"/>
        <w:numPr>
          <w:ilvl w:val="0"/>
          <w:numId w:val="3"/>
        </w:numPr>
        <w:ind w:firstLineChars="0"/>
        <w:rPr>
          <w:rFonts w:ascii="宋体" w:hAnsi="宋体"/>
          <w:color w:val="000000"/>
          <w:sz w:val="28"/>
          <w:szCs w:val="28"/>
        </w:rPr>
      </w:pPr>
      <w:r>
        <w:rPr>
          <w:rFonts w:hint="eastAsia" w:ascii="宋体" w:hAnsi="宋体"/>
          <w:color w:val="000000"/>
          <w:sz w:val="28"/>
          <w:szCs w:val="28"/>
        </w:rPr>
        <w:t>链条：型号为428H#（具体参数为Φ8.5，节距12.7）或同等及以上档次。</w:t>
      </w:r>
    </w:p>
    <w:p>
      <w:pPr>
        <w:pStyle w:val="29"/>
        <w:numPr>
          <w:ilvl w:val="0"/>
          <w:numId w:val="3"/>
        </w:numPr>
        <w:ind w:firstLineChars="0"/>
        <w:rPr>
          <w:rFonts w:ascii="宋体" w:hAnsi="宋体"/>
          <w:color w:val="000000"/>
          <w:sz w:val="28"/>
          <w:szCs w:val="28"/>
        </w:rPr>
      </w:pPr>
      <w:r>
        <w:rPr>
          <w:rFonts w:hint="eastAsia" w:ascii="宋体" w:hAnsi="宋体"/>
          <w:color w:val="000000"/>
          <w:sz w:val="28"/>
          <w:szCs w:val="28"/>
        </w:rPr>
        <w:t>传动管：要求为≥Φ26mm×壁厚2.5mm的优质钢管。</w:t>
      </w:r>
    </w:p>
    <w:p>
      <w:pPr>
        <w:pStyle w:val="29"/>
        <w:numPr>
          <w:ilvl w:val="0"/>
          <w:numId w:val="3"/>
        </w:numPr>
        <w:ind w:firstLineChars="0"/>
        <w:rPr>
          <w:rFonts w:ascii="宋体" w:hAnsi="宋体"/>
          <w:color w:val="000000"/>
          <w:sz w:val="28"/>
          <w:szCs w:val="28"/>
        </w:rPr>
      </w:pPr>
      <w:r>
        <w:rPr>
          <w:rFonts w:hint="eastAsia" w:ascii="宋体" w:hAnsi="宋体"/>
          <w:sz w:val="28"/>
          <w:szCs w:val="28"/>
        </w:rPr>
        <w:t>★</w:t>
      </w:r>
      <w:r>
        <w:rPr>
          <w:rFonts w:hint="eastAsia" w:ascii="宋体" w:hAnsi="宋体"/>
          <w:color w:val="000000"/>
          <w:sz w:val="28"/>
          <w:szCs w:val="28"/>
        </w:rPr>
        <w:t>承载</w:t>
      </w:r>
      <w:r>
        <w:rPr>
          <w:rFonts w:ascii="宋体" w:hAnsi="宋体"/>
          <w:color w:val="000000"/>
          <w:sz w:val="28"/>
          <w:szCs w:val="28"/>
        </w:rPr>
        <w:t>轮轴</w:t>
      </w:r>
      <w:r>
        <w:rPr>
          <w:rFonts w:hint="eastAsia" w:ascii="宋体" w:hAnsi="宋体"/>
          <w:color w:val="000000"/>
          <w:sz w:val="28"/>
          <w:szCs w:val="28"/>
        </w:rPr>
        <w:t>：为确保此批密集书架的整体质量及传动机构能够平稳运行，要求采用45#号实芯圆钢，经车床精加工后镀锌制作，根据承载轮轴与传动管、轴承、滚轮的连接部位、功能以及承重的不同加工出不同直径的部位：Φ19.5mm（±0.</w:t>
      </w:r>
      <w:r>
        <w:rPr>
          <w:rFonts w:ascii="宋体" w:hAnsi="宋体"/>
          <w:color w:val="000000"/>
          <w:sz w:val="28"/>
          <w:szCs w:val="28"/>
        </w:rPr>
        <w:t>2</w:t>
      </w:r>
      <w:r>
        <w:rPr>
          <w:rFonts w:hint="eastAsia" w:ascii="宋体" w:hAnsi="宋体"/>
          <w:color w:val="000000"/>
          <w:sz w:val="28"/>
          <w:szCs w:val="28"/>
        </w:rPr>
        <w:t>mm）的部位与传动管连接；Φ20mm（±0.</w:t>
      </w:r>
      <w:r>
        <w:rPr>
          <w:rFonts w:ascii="宋体" w:hAnsi="宋体"/>
          <w:color w:val="000000"/>
          <w:sz w:val="28"/>
          <w:szCs w:val="28"/>
        </w:rPr>
        <w:t>2</w:t>
      </w:r>
      <w:r>
        <w:rPr>
          <w:rFonts w:hint="eastAsia" w:ascii="宋体" w:hAnsi="宋体"/>
          <w:color w:val="000000"/>
          <w:sz w:val="28"/>
          <w:szCs w:val="28"/>
        </w:rPr>
        <w:t>mm）的部位与轴承连接；Φ22mm（±0.</w:t>
      </w:r>
      <w:r>
        <w:rPr>
          <w:rFonts w:ascii="宋体" w:hAnsi="宋体"/>
          <w:color w:val="000000"/>
          <w:sz w:val="28"/>
          <w:szCs w:val="28"/>
        </w:rPr>
        <w:t>2</w:t>
      </w:r>
      <w:r>
        <w:rPr>
          <w:rFonts w:hint="eastAsia" w:ascii="宋体" w:hAnsi="宋体"/>
          <w:color w:val="000000"/>
          <w:sz w:val="28"/>
          <w:szCs w:val="28"/>
        </w:rPr>
        <w:t>mm）的部位与滚轮连接；未加工的部分是Φ25mm（±0.</w:t>
      </w:r>
      <w:r>
        <w:rPr>
          <w:rFonts w:ascii="宋体" w:hAnsi="宋体"/>
          <w:color w:val="000000"/>
          <w:sz w:val="28"/>
          <w:szCs w:val="28"/>
        </w:rPr>
        <w:t>2</w:t>
      </w:r>
      <w:r>
        <w:rPr>
          <w:rFonts w:hint="eastAsia" w:ascii="宋体" w:hAnsi="宋体"/>
          <w:color w:val="000000"/>
          <w:sz w:val="28"/>
          <w:szCs w:val="28"/>
        </w:rPr>
        <w:t>mm）起到限制滚轮脱轴、脱轨、承重的作用。</w:t>
      </w:r>
    </w:p>
    <w:p>
      <w:pPr>
        <w:pStyle w:val="29"/>
        <w:ind w:left="420" w:hanging="420" w:firstLineChars="0"/>
        <w:rPr>
          <w:rStyle w:val="44"/>
          <w:sz w:val="24"/>
          <w:szCs w:val="24"/>
        </w:rPr>
      </w:pPr>
      <w:r>
        <w:rPr>
          <w:rStyle w:val="44"/>
          <w:rFonts w:hint="eastAsia"/>
          <w:sz w:val="24"/>
          <w:szCs w:val="24"/>
        </w:rPr>
        <w:t>（三）导正系统：</w:t>
      </w:r>
    </w:p>
    <w:p>
      <w:pPr>
        <w:pStyle w:val="29"/>
        <w:numPr>
          <w:ilvl w:val="0"/>
          <w:numId w:val="4"/>
        </w:numPr>
        <w:ind w:firstLineChars="0"/>
        <w:rPr>
          <w:rFonts w:ascii="宋体" w:hAnsi="宋体"/>
          <w:color w:val="000000"/>
          <w:sz w:val="28"/>
          <w:szCs w:val="28"/>
        </w:rPr>
      </w:pPr>
      <w:r>
        <w:rPr>
          <w:rFonts w:hint="eastAsia" w:ascii="宋体" w:hAnsi="宋体"/>
          <w:color w:val="000000"/>
          <w:sz w:val="28"/>
          <w:szCs w:val="28"/>
        </w:rPr>
        <w:t>★ 无轨道密集架取消地面轨道，增加侧面导正系统，保证密集架所占用的地面内畅通无阻，无障碍物，方便推车进入，防止管理人员跌倒，不破坏地面整体效果，避免破坏楼层的整体承重压力。</w:t>
      </w:r>
    </w:p>
    <w:p>
      <w:pPr>
        <w:pStyle w:val="29"/>
        <w:numPr>
          <w:ilvl w:val="0"/>
          <w:numId w:val="4"/>
        </w:numPr>
        <w:ind w:firstLineChars="0"/>
        <w:rPr>
          <w:rFonts w:ascii="宋体" w:hAnsi="宋体"/>
          <w:sz w:val="28"/>
          <w:szCs w:val="28"/>
        </w:rPr>
      </w:pPr>
      <w:r>
        <w:rPr>
          <w:rFonts w:hint="eastAsia" w:ascii="宋体" w:hAnsi="宋体"/>
          <w:sz w:val="28"/>
          <w:szCs w:val="28"/>
        </w:rPr>
        <w:t>无轨密集架的导向架使用材料厚度δ≥2.5</w:t>
      </w:r>
      <w:r>
        <w:rPr>
          <w:rFonts w:ascii="宋体" w:hAnsi="宋体"/>
          <w:sz w:val="28"/>
          <w:szCs w:val="28"/>
        </w:rPr>
        <w:t>mm</w:t>
      </w:r>
      <w:r>
        <w:rPr>
          <w:rFonts w:hint="eastAsia" w:ascii="宋体" w:hAnsi="宋体"/>
          <w:sz w:val="28"/>
          <w:szCs w:val="28"/>
        </w:rPr>
        <w:t>钢板经过两次折弯形成U形，既能导向又能防止架体倾倒。</w:t>
      </w:r>
    </w:p>
    <w:p>
      <w:pPr>
        <w:pStyle w:val="29"/>
        <w:numPr>
          <w:ilvl w:val="0"/>
          <w:numId w:val="4"/>
        </w:numPr>
        <w:ind w:firstLineChars="0"/>
        <w:rPr>
          <w:rFonts w:ascii="宋体" w:hAnsi="宋体"/>
          <w:sz w:val="28"/>
          <w:szCs w:val="28"/>
        </w:rPr>
      </w:pPr>
      <w:r>
        <w:rPr>
          <w:rFonts w:hint="eastAsia" w:ascii="宋体" w:hAnsi="宋体"/>
          <w:sz w:val="28"/>
          <w:szCs w:val="28"/>
        </w:rPr>
        <w:t>无轨密集架的护板顶部冲</w:t>
      </w:r>
      <w:r>
        <w:rPr>
          <w:rFonts w:hint="eastAsia" w:ascii="宋体" w:hAnsi="宋体"/>
          <w:color w:val="000000"/>
          <w:sz w:val="28"/>
          <w:szCs w:val="28"/>
        </w:rPr>
        <w:t>直径大于20</w:t>
      </w:r>
      <w:r>
        <w:rPr>
          <w:rFonts w:ascii="宋体" w:hAnsi="宋体"/>
          <w:color w:val="000000"/>
          <w:sz w:val="28"/>
          <w:szCs w:val="28"/>
        </w:rPr>
        <w:t>mm</w:t>
      </w:r>
      <w:r>
        <w:rPr>
          <w:rFonts w:hint="eastAsia" w:ascii="宋体" w:hAnsi="宋体"/>
          <w:color w:val="000000"/>
          <w:sz w:val="28"/>
          <w:szCs w:val="28"/>
        </w:rPr>
        <w:t>的</w:t>
      </w:r>
      <w:r>
        <w:rPr>
          <w:rFonts w:hint="eastAsia" w:ascii="宋体" w:hAnsi="宋体"/>
          <w:sz w:val="28"/>
          <w:szCs w:val="28"/>
        </w:rPr>
        <w:t>防滑凸包，其作用是既能防止人踩在上面的时候滑倒又起到美观作用。</w:t>
      </w:r>
    </w:p>
    <w:p>
      <w:pPr>
        <w:pStyle w:val="29"/>
        <w:numPr>
          <w:ilvl w:val="0"/>
          <w:numId w:val="4"/>
        </w:numPr>
        <w:ind w:firstLineChars="0"/>
        <w:rPr>
          <w:rFonts w:ascii="宋体" w:hAnsi="宋体"/>
          <w:sz w:val="28"/>
          <w:szCs w:val="28"/>
        </w:rPr>
      </w:pPr>
      <w:r>
        <w:rPr>
          <w:rFonts w:hint="eastAsia" w:ascii="宋体" w:hAnsi="宋体"/>
          <w:color w:val="000000"/>
          <w:sz w:val="28"/>
          <w:szCs w:val="28"/>
        </w:rPr>
        <w:t>★</w:t>
      </w:r>
      <w:r>
        <w:rPr>
          <w:rFonts w:hint="eastAsia" w:ascii="宋体" w:hAnsi="宋体"/>
          <w:sz w:val="28"/>
          <w:szCs w:val="28"/>
        </w:rPr>
        <w:t>无轨密集架的护板里面焊接了护板骨架，</w:t>
      </w:r>
      <w:r>
        <w:rPr>
          <w:rFonts w:ascii="宋体" w:hAnsi="宋体"/>
          <w:sz w:val="28"/>
          <w:szCs w:val="28"/>
        </w:rPr>
        <w:t>其</w:t>
      </w:r>
      <w:r>
        <w:rPr>
          <w:rFonts w:hint="eastAsia" w:ascii="宋体" w:hAnsi="宋体"/>
          <w:sz w:val="28"/>
          <w:szCs w:val="28"/>
        </w:rPr>
        <w:t>主要所用是增加整个导正系统的刚性，</w:t>
      </w:r>
      <w:r>
        <w:rPr>
          <w:rFonts w:ascii="宋体" w:hAnsi="宋体"/>
          <w:sz w:val="28"/>
          <w:szCs w:val="28"/>
        </w:rPr>
        <w:t>与</w:t>
      </w:r>
      <w:r>
        <w:rPr>
          <w:rFonts w:hint="eastAsia" w:ascii="宋体" w:hAnsi="宋体"/>
          <w:sz w:val="28"/>
          <w:szCs w:val="28"/>
        </w:rPr>
        <w:t>导向架配合防止架体倾倒；即使有时候整个人踩在上面，</w:t>
      </w:r>
      <w:r>
        <w:rPr>
          <w:rFonts w:ascii="宋体" w:hAnsi="宋体"/>
          <w:sz w:val="28"/>
          <w:szCs w:val="28"/>
        </w:rPr>
        <w:t>护板</w:t>
      </w:r>
      <w:r>
        <w:rPr>
          <w:rFonts w:hint="eastAsia" w:ascii="宋体" w:hAnsi="宋体"/>
          <w:sz w:val="28"/>
          <w:szCs w:val="28"/>
        </w:rPr>
        <w:t>也不会变形。</w:t>
      </w:r>
    </w:p>
    <w:p>
      <w:pPr>
        <w:pStyle w:val="29"/>
        <w:numPr>
          <w:ilvl w:val="0"/>
          <w:numId w:val="4"/>
        </w:numPr>
        <w:ind w:firstLineChars="0"/>
        <w:rPr>
          <w:rFonts w:ascii="宋体" w:hAnsi="宋体"/>
          <w:sz w:val="28"/>
          <w:szCs w:val="28"/>
        </w:rPr>
      </w:pPr>
      <w:r>
        <w:rPr>
          <w:rFonts w:hint="eastAsia" w:ascii="宋体" w:hAnsi="宋体"/>
          <w:color w:val="000000"/>
          <w:sz w:val="28"/>
          <w:szCs w:val="28"/>
        </w:rPr>
        <w:t>★</w:t>
      </w:r>
      <w:r>
        <w:rPr>
          <w:rFonts w:hint="eastAsia" w:ascii="宋体" w:hAnsi="宋体"/>
          <w:sz w:val="28"/>
          <w:szCs w:val="28"/>
        </w:rPr>
        <w:t>无轨密集架大的导向槽采用20</w:t>
      </w:r>
      <w:r>
        <w:rPr>
          <w:rFonts w:ascii="宋体" w:hAnsi="宋体"/>
          <w:sz w:val="28"/>
          <w:szCs w:val="28"/>
        </w:rPr>
        <w:t>*36mm</w:t>
      </w:r>
      <w:r>
        <w:rPr>
          <w:rFonts w:hint="eastAsia" w:ascii="宋体" w:hAnsi="宋体"/>
          <w:sz w:val="28"/>
          <w:szCs w:val="28"/>
        </w:rPr>
        <w:t>的实心方钢焊接而成，3</w:t>
      </w:r>
      <w:r>
        <w:rPr>
          <w:rFonts w:ascii="宋体" w:hAnsi="宋体"/>
          <w:sz w:val="28"/>
          <w:szCs w:val="28"/>
        </w:rPr>
        <w:t>6mm</w:t>
      </w:r>
      <w:r>
        <w:rPr>
          <w:rFonts w:hint="eastAsia" w:ascii="宋体" w:hAnsi="宋体"/>
          <w:sz w:val="28"/>
          <w:szCs w:val="28"/>
        </w:rPr>
        <w:t>方向导向。</w:t>
      </w:r>
    </w:p>
    <w:p>
      <w:pPr>
        <w:pStyle w:val="29"/>
        <w:numPr>
          <w:ilvl w:val="0"/>
          <w:numId w:val="4"/>
        </w:numPr>
        <w:ind w:firstLineChars="0"/>
        <w:rPr>
          <w:rFonts w:ascii="宋体" w:hAnsi="宋体"/>
          <w:sz w:val="28"/>
          <w:szCs w:val="28"/>
        </w:rPr>
      </w:pPr>
      <w:r>
        <w:rPr>
          <w:rFonts w:hint="eastAsia" w:ascii="宋体" w:hAnsi="宋体"/>
          <w:sz w:val="28"/>
          <w:szCs w:val="28"/>
        </w:rPr>
        <w:t>无轨密集架的导向滚轮中安装了优质6202轴承，</w:t>
      </w:r>
      <w:r>
        <w:rPr>
          <w:rFonts w:ascii="宋体" w:hAnsi="宋体"/>
          <w:sz w:val="28"/>
          <w:szCs w:val="28"/>
        </w:rPr>
        <w:t>其</w:t>
      </w:r>
      <w:r>
        <w:rPr>
          <w:rFonts w:hint="eastAsia" w:ascii="宋体" w:hAnsi="宋体"/>
          <w:sz w:val="28"/>
          <w:szCs w:val="28"/>
        </w:rPr>
        <w:t>主要作用是在运行过程中更加顺畅，解决了在运行过程中前端与后端不同步的问题。</w:t>
      </w:r>
    </w:p>
    <w:p>
      <w:pPr>
        <w:pStyle w:val="29"/>
        <w:numPr>
          <w:ilvl w:val="0"/>
          <w:numId w:val="4"/>
        </w:numPr>
        <w:ind w:firstLineChars="0"/>
        <w:rPr>
          <w:rFonts w:ascii="宋体" w:hAnsi="宋体"/>
          <w:color w:val="000000"/>
          <w:sz w:val="28"/>
          <w:szCs w:val="28"/>
        </w:rPr>
      </w:pPr>
      <w:r>
        <w:rPr>
          <w:rFonts w:hint="eastAsia" w:ascii="宋体" w:hAnsi="宋体"/>
          <w:sz w:val="28"/>
          <w:szCs w:val="28"/>
        </w:rPr>
        <w:t>无轨密集架的导向滚轮是采用优质T10特钢、经数控车床加工、再经调质处理、</w:t>
      </w:r>
      <w:r>
        <w:rPr>
          <w:rFonts w:ascii="宋体" w:hAnsi="宋体"/>
          <w:sz w:val="28"/>
          <w:szCs w:val="28"/>
        </w:rPr>
        <w:t>导向</w:t>
      </w:r>
      <w:r>
        <w:rPr>
          <w:rFonts w:hint="eastAsia" w:ascii="宋体" w:hAnsi="宋体"/>
          <w:sz w:val="28"/>
          <w:szCs w:val="28"/>
        </w:rPr>
        <w:t>处直径为</w:t>
      </w:r>
      <w:r>
        <w:rPr>
          <w:rFonts w:ascii="宋体" w:hAnsi="宋体"/>
          <w:sz w:val="28"/>
          <w:szCs w:val="28"/>
        </w:rPr>
        <w:t>Ø55mm</w:t>
      </w:r>
      <w:r>
        <w:rPr>
          <w:rFonts w:hint="eastAsia" w:ascii="宋体" w:hAnsi="宋体"/>
          <w:sz w:val="28"/>
          <w:szCs w:val="28"/>
        </w:rPr>
        <w:t>。导向滚轮在承载能力、</w:t>
      </w:r>
      <w:r>
        <w:rPr>
          <w:rFonts w:ascii="宋体" w:hAnsi="宋体"/>
          <w:sz w:val="28"/>
          <w:szCs w:val="28"/>
        </w:rPr>
        <w:t>导向</w:t>
      </w:r>
      <w:r>
        <w:rPr>
          <w:rFonts w:hint="eastAsia" w:ascii="宋体" w:hAnsi="宋体"/>
          <w:sz w:val="28"/>
          <w:szCs w:val="28"/>
        </w:rPr>
        <w:t>稳定型、</w:t>
      </w:r>
      <w:r>
        <w:rPr>
          <w:rFonts w:ascii="宋体" w:hAnsi="宋体"/>
          <w:sz w:val="28"/>
          <w:szCs w:val="28"/>
        </w:rPr>
        <w:t>运行</w:t>
      </w:r>
      <w:r>
        <w:rPr>
          <w:rFonts w:hint="eastAsia" w:ascii="宋体" w:hAnsi="宋体"/>
          <w:sz w:val="28"/>
          <w:szCs w:val="28"/>
        </w:rPr>
        <w:t>顺畅性和使用寿命等各个方面都具有优越性。</w:t>
      </w:r>
    </w:p>
    <w:p>
      <w:pPr>
        <w:pStyle w:val="29"/>
        <w:numPr>
          <w:ilvl w:val="0"/>
          <w:numId w:val="4"/>
        </w:numPr>
        <w:ind w:firstLineChars="0"/>
        <w:rPr>
          <w:rFonts w:ascii="宋体" w:hAnsi="宋体"/>
          <w:color w:val="000000"/>
          <w:sz w:val="28"/>
          <w:szCs w:val="28"/>
        </w:rPr>
      </w:pPr>
      <w:r>
        <w:rPr>
          <w:rFonts w:hint="eastAsia" w:ascii="宋体" w:hAnsi="宋体"/>
          <w:color w:val="000000"/>
          <w:sz w:val="28"/>
          <w:szCs w:val="28"/>
        </w:rPr>
        <w:t>★</w:t>
      </w:r>
      <w:r>
        <w:rPr>
          <w:rFonts w:hint="eastAsia" w:ascii="宋体" w:hAnsi="宋体"/>
          <w:sz w:val="28"/>
          <w:szCs w:val="28"/>
        </w:rPr>
        <w:t>承载轮：承载轮采用HT200灰口铸铁铁芯，铁芯厚度6mm~8mm,外包PA6</w:t>
      </w:r>
      <w:r>
        <w:rPr>
          <w:rFonts w:ascii="宋体" w:hAnsi="宋体"/>
          <w:sz w:val="28"/>
          <w:szCs w:val="28"/>
        </w:rPr>
        <w:t>GF30</w:t>
      </w:r>
      <w:r>
        <w:rPr>
          <w:rFonts w:hint="eastAsia" w:ascii="宋体" w:hAnsi="宋体"/>
          <w:sz w:val="28"/>
          <w:szCs w:val="28"/>
        </w:rPr>
        <w:t>耐火耐磨材料，一次注塑成型，外直径(125±3)㎜，厚度为(52±3)㎜,单轮承重达800公斤，不破坏地面。</w:t>
      </w:r>
    </w:p>
    <w:p>
      <w:pPr>
        <w:jc w:val="center"/>
      </w:pPr>
      <w:r>
        <w:rPr>
          <w:rFonts w:ascii="宋体" w:hAnsi="宋体" w:cs="宋体"/>
          <w:color w:val="000000"/>
          <w:kern w:val="0"/>
          <w:szCs w:val="21"/>
        </w:rPr>
        <w:pict>
          <v:group id="画布 27" o:spid="_x0000_s1093" o:spt="203" style="height:227.3pt;width:436.35pt;" coordsize="55416,28867" editas="canvas">
            <o:lock v:ext="edit"/>
            <v:shape id="画布 27" o:spid="_x0000_s1094" o:spt="75" type="#_x0000_t75" style="position:absolute;left:0;top:0;height:28867;width:55416;" filled="f" o:preferrelative="t" stroked="f" coordsize="21600,21600">
              <v:path/>
              <v:fill on="f" focussize="0,0"/>
              <v:stroke on="f" joinstyle="miter"/>
              <v:imagedata o:title=""/>
              <o:lock v:ext="edit" aspectratio="t"/>
            </v:shape>
            <v:rect id="Rectangle 5" o:spid="_x0000_s1095" o:spt="1" style="position:absolute;left:8879;top:24271;height:4598;width:13670;"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cMIA&#10;AADaAAAADwAAAGRycy9kb3ducmV2LnhtbESPQYvCMBSE7wv+h/AEb5qqKGs1iqgFPexhq+L10Tzb&#10;YvNSmqj13xthYY/DzHzDLFatqcSDGldaVjAcRCCIM6tLzhWcjkn/G4TzyBory6TgRQ5Wy87XAmNt&#10;n/xLj9TnIkDYxaig8L6OpXRZQQbdwNbEwbvaxqAPssmlbvAZ4KaSoyiaSoMlh4UCa9oUlN3Su1GQ&#10;Jmf9M7v48cW2Sb47bLfXXX1Uqtdt13MQnlr/H/5r77WCCXyuhBs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8ixwwgAAANoAAAAPAAAAAAAAAAAAAAAAAJgCAABkcnMvZG93&#10;bnJldi54bWxQSwUGAAAAAAQABAD1AAAAhwMAAAAA&#10;">
              <v:path/>
              <v:fill opacity="0f" focussize="0,0"/>
              <v:stroke on="f"/>
              <v:imagedata o:title=""/>
              <o:lock v:ext="edit"/>
              <v:textbox>
                <w:txbxContent>
                  <w:p>
                    <w:pPr>
                      <w:rPr>
                        <w:b/>
                        <w:sz w:val="28"/>
                        <w:szCs w:val="28"/>
                      </w:rPr>
                    </w:pPr>
                    <w:r>
                      <w:rPr>
                        <w:rFonts w:hint="eastAsia"/>
                        <w:b/>
                        <w:sz w:val="28"/>
                        <w:szCs w:val="28"/>
                      </w:rPr>
                      <w:t>导正系统</w:t>
                    </w:r>
                  </w:p>
                </w:txbxContent>
              </v:textbox>
            </v:rect>
            <v:rect id="Rectangle 8" o:spid="_x0000_s1096" o:spt="1" style="position:absolute;left:38914;top:23979;height:4597;width:13671;"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6gMIA&#10;AADbAAAADwAAAGRycy9kb3ducmV2LnhtbESPQYvCMBSE7wv+h/AEb2uqgqzVKKIW9OBhq+L10Tzb&#10;YvNSmqj13xtB8DjMzDfMbNGaStypcaVlBYN+BII4s7rkXMHxkPz+gXAeWWNlmRQ8ycFi3vmZYazt&#10;g//pnvpcBAi7GBUU3texlC4ryKDr25o4eBfbGPRBNrnUDT4C3FRyGEVjabDksFBgTauCsmt6MwrS&#10;5KT3k7MfnW2b5Jvden3Z1Aelet12OQXhqfXf8Ke91QqGY3h/C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rqAwgAAANsAAAAPAAAAAAAAAAAAAAAAAJgCAABkcnMvZG93&#10;bnJldi54bWxQSwUGAAAAAAQABAD1AAAAhwMAAAAA&#10;">
              <v:path/>
              <v:fill opacity="0f" focussize="0,0"/>
              <v:stroke on="f"/>
              <v:imagedata o:title=""/>
              <o:lock v:ext="edit"/>
              <v:textbox>
                <w:txbxContent>
                  <w:p>
                    <w:pPr>
                      <w:rPr>
                        <w:b/>
                        <w:sz w:val="28"/>
                        <w:szCs w:val="28"/>
                      </w:rPr>
                    </w:pPr>
                    <w:r>
                      <w:rPr>
                        <w:rFonts w:hint="eastAsia"/>
                        <w:b/>
                        <w:sz w:val="28"/>
                        <w:szCs w:val="28"/>
                      </w:rPr>
                      <w:t>承载轮</w:t>
                    </w:r>
                  </w:p>
                </w:txbxContent>
              </v:textbox>
            </v:rect>
            <v:shape id="图片 5" o:spid="_x0000_s1097" o:spt="75" type="#_x0000_t75" style="position:absolute;left:0;top:550;height:23429;width:31333;"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cyaPBAAAA2wAAAA8AAABkcnMvZG93bnJldi54bWxET0trwkAQvhf8D8sI3uqmPoKkriKKoLdq&#10;g+BtyE6T0OxszK4x+uu7gtDbfHzPmS87U4mWGldaVvAxjEAQZ1aXnCtIv7fvMxDOI2usLJOCOzlY&#10;Lnpvc0y0vfGB2qPPRQhhl6CCwvs6kdJlBRl0Q1sTB+7HNgZ9gE0udYO3EG4qOYqiWBosOTQUWNO6&#10;oOz3eDUKLmyuX+l4k+7bycN2sTxvpqezUoN+t/oE4anz/+KXe6fD/Biev4QD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cyaPBAAAA2wAAAA8AAAAAAAAAAAAAAAAAnwIA&#10;AGRycy9kb3ducmV2LnhtbFBLBQYAAAAABAAEAPcAAACNAwAAAAA=&#10;">
              <v:path arrowok="t"/>
              <v:fill on="f" focussize="0,0"/>
              <v:stroke on="f" joinstyle="miter"/>
              <v:imagedata r:id="rId70" o:title=""/>
              <o:lock v:ext="edit" aspectratio="t"/>
            </v:shape>
            <v:shape id="图片 6" o:spid="_x0000_s1098" o:spt="75" type="#_x0000_t75" style="position:absolute;left:34185;top:359;height:23889;width:20869;"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6FjBAAAA2wAAAA8AAABkcnMvZG93bnJldi54bWxEj0GLwjAUhO8L/ofwBG9rqgXRahQRhV63&#10;u6LHR/Nsi81LSaJWf/1GWNjjMDPfMKtNb1pxJ+cbywom4wQEcWl1w5WCn+/D5xyED8gaW8uk4Eke&#10;NuvBxwozbR/8RfciVCJC2GeooA6hy6T0ZU0G/dh2xNG7WGcwROkqqR0+Ity0cpokM2mw4bhQY0e7&#10;msprcTMKTikd01Ce9/MXuus+X5yeeZEqNRr22yWIQH34D/+1c61gOoH3l/gD5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Q+6FjBAAAA2wAAAA8AAAAAAAAAAAAAAAAAnwIA&#10;AGRycy9kb3ducmV2LnhtbFBLBQYAAAAABAAEAPcAAACNAwAAAAA=&#10;">
              <v:path arrowok="t"/>
              <v:fill on="f" focussize="0,0"/>
              <v:stroke on="f" joinstyle="miter"/>
              <v:imagedata r:id="rId71" o:title=""/>
              <o:lock v:ext="edit" aspectratio="t"/>
            </v:shape>
            <w10:wrap type="none"/>
            <w10:anchorlock/>
          </v:group>
        </w:pict>
      </w:r>
    </w:p>
    <w:p>
      <w:pPr>
        <w:rPr>
          <w:rStyle w:val="44"/>
          <w:sz w:val="24"/>
          <w:szCs w:val="24"/>
        </w:rPr>
      </w:pPr>
      <w:r>
        <w:rPr>
          <w:rStyle w:val="44"/>
          <w:rFonts w:hint="eastAsia"/>
          <w:sz w:val="24"/>
          <w:szCs w:val="24"/>
        </w:rPr>
        <w:t>（四）防护装置：</w:t>
      </w:r>
    </w:p>
    <w:p>
      <w:pPr>
        <w:numPr>
          <w:ilvl w:val="0"/>
          <w:numId w:val="5"/>
        </w:numPr>
        <w:spacing w:line="276" w:lineRule="auto"/>
        <w:rPr>
          <w:rFonts w:ascii="宋体" w:hAnsi="宋体"/>
          <w:color w:val="000000"/>
          <w:sz w:val="28"/>
          <w:szCs w:val="28"/>
        </w:rPr>
      </w:pPr>
      <w:r>
        <w:rPr>
          <w:rFonts w:hint="eastAsia" w:ascii="宋体" w:hAnsi="宋体"/>
          <w:sz w:val="28"/>
          <w:szCs w:val="28"/>
        </w:rPr>
        <w:t>★</w:t>
      </w:r>
      <w:r>
        <w:rPr>
          <w:rFonts w:hint="eastAsia" w:ascii="宋体" w:hAnsi="宋体"/>
          <w:color w:val="000000"/>
          <w:sz w:val="28"/>
          <w:szCs w:val="28"/>
        </w:rPr>
        <w:t>减震及密封装置（下图所示）：采用冰箱用带磁性橡胶密封条达到密集架的减震及密封功能，为防止密封条脱落，密封条采用卡槽方式固定，卡槽材质为PVC阻燃材料。</w:t>
      </w:r>
    </w:p>
    <w:p>
      <w:pPr>
        <w:jc w:val="center"/>
      </w:pPr>
      <w:r>
        <w:drawing>
          <wp:inline distT="0" distB="0" distL="0" distR="0">
            <wp:extent cx="1521460" cy="1086485"/>
            <wp:effectExtent l="0" t="0" r="2540" b="18415"/>
            <wp:docPr id="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0"/>
                    <pic:cNvPicPr>
                      <a:picLocks noChangeAspect="1"/>
                    </pic:cNvPicPr>
                  </pic:nvPicPr>
                  <pic:blipFill>
                    <a:blip r:embed="rId72" cstate="print"/>
                    <a:stretch>
                      <a:fillRect/>
                    </a:stretch>
                  </pic:blipFill>
                  <pic:spPr>
                    <a:xfrm>
                      <a:off x="0" y="0"/>
                      <a:ext cx="1565608" cy="1118291"/>
                    </a:xfrm>
                    <a:prstGeom prst="rect">
                      <a:avLst/>
                    </a:prstGeom>
                  </pic:spPr>
                </pic:pic>
              </a:graphicData>
            </a:graphic>
          </wp:inline>
        </w:drawing>
      </w:r>
    </w:p>
    <w:p>
      <w:pPr>
        <w:jc w:val="center"/>
        <w:rPr>
          <w:rFonts w:ascii="宋体" w:hAnsi="宋体"/>
          <w:color w:val="000000"/>
          <w:sz w:val="28"/>
          <w:szCs w:val="28"/>
        </w:rPr>
      </w:pPr>
      <w:r>
        <w:rPr>
          <w:rFonts w:hint="eastAsia"/>
        </w:rPr>
        <w:t>减震及密封装置示意图</w:t>
      </w:r>
    </w:p>
    <w:p>
      <w:pPr>
        <w:pStyle w:val="29"/>
        <w:numPr>
          <w:ilvl w:val="0"/>
          <w:numId w:val="5"/>
        </w:numPr>
        <w:ind w:firstLineChars="0"/>
        <w:rPr>
          <w:rFonts w:ascii="宋体" w:hAnsi="宋体"/>
          <w:color w:val="000000"/>
          <w:sz w:val="28"/>
          <w:szCs w:val="28"/>
        </w:rPr>
      </w:pPr>
      <w:r>
        <w:rPr>
          <w:rFonts w:hint="eastAsia" w:ascii="宋体" w:hAnsi="宋体"/>
          <w:color w:val="000000"/>
          <w:sz w:val="28"/>
          <w:szCs w:val="28"/>
        </w:rPr>
        <w:t>防倾倒装置：底盘上安装有防倒勾，与轨道相连，采用材料厚度δ≥3.0 ㎜ 304#不锈钢制作。</w:t>
      </w:r>
    </w:p>
    <w:p>
      <w:pPr>
        <w:pStyle w:val="29"/>
        <w:numPr>
          <w:ilvl w:val="0"/>
          <w:numId w:val="5"/>
        </w:numPr>
        <w:ind w:firstLineChars="0"/>
        <w:rPr>
          <w:rFonts w:ascii="宋体" w:hAnsi="宋体"/>
          <w:color w:val="000000"/>
          <w:sz w:val="28"/>
          <w:szCs w:val="28"/>
        </w:rPr>
      </w:pPr>
      <w:r>
        <w:rPr>
          <w:rFonts w:hint="eastAsia" w:ascii="宋体" w:hAnsi="宋体"/>
          <w:color w:val="000000"/>
          <w:sz w:val="28"/>
          <w:szCs w:val="28"/>
        </w:rPr>
        <w:t>防尘：采用材料厚度δ≥</w:t>
      </w:r>
      <w:r>
        <w:rPr>
          <w:rFonts w:ascii="宋体" w:hAnsi="宋体"/>
          <w:color w:val="000000"/>
          <w:sz w:val="28"/>
          <w:szCs w:val="28"/>
        </w:rPr>
        <w:t>0.7</w:t>
      </w:r>
      <w:r>
        <w:rPr>
          <w:rFonts w:hint="eastAsia" w:ascii="宋体" w:hAnsi="宋体"/>
          <w:color w:val="000000"/>
          <w:sz w:val="28"/>
          <w:szCs w:val="28"/>
        </w:rPr>
        <w:t xml:space="preserve"> ㎜冷轧钢板制作。在架体顶部装有防尘板，合拢后无空缝，功能达到防火、防尘、防盗、防光要求。</w:t>
      </w:r>
    </w:p>
    <w:p>
      <w:pPr>
        <w:pStyle w:val="29"/>
        <w:numPr>
          <w:ilvl w:val="0"/>
          <w:numId w:val="5"/>
        </w:numPr>
        <w:ind w:firstLineChars="0"/>
        <w:rPr>
          <w:rFonts w:ascii="宋体" w:hAnsi="宋体"/>
          <w:color w:val="000000"/>
          <w:sz w:val="28"/>
          <w:szCs w:val="28"/>
        </w:rPr>
      </w:pPr>
      <w:r>
        <w:rPr>
          <w:rFonts w:hint="eastAsia" w:ascii="宋体" w:hAnsi="宋体"/>
          <w:color w:val="000000"/>
          <w:sz w:val="28"/>
          <w:szCs w:val="28"/>
        </w:rPr>
        <w:t>限位装置：轨道两端安装限位块，防止密集书架运行过程中脱轨。</w:t>
      </w:r>
    </w:p>
    <w:p>
      <w:pPr>
        <w:rPr>
          <w:rFonts w:ascii="宋体" w:hAnsi="宋体"/>
          <w:color w:val="000000"/>
          <w:sz w:val="24"/>
        </w:rPr>
      </w:pPr>
      <w:r>
        <w:rPr>
          <w:rStyle w:val="44"/>
          <w:rFonts w:hint="eastAsia"/>
          <w:sz w:val="24"/>
          <w:szCs w:val="24"/>
        </w:rPr>
        <w:t>（五）边门和主副侧板设计要求：</w:t>
      </w:r>
      <w:r>
        <w:rPr>
          <w:rFonts w:hint="eastAsia" w:cs="宋体"/>
          <w:kern w:val="0"/>
          <w:sz w:val="24"/>
        </w:rPr>
        <w:br w:type="textWrapping"/>
      </w:r>
    </w:p>
    <w:p>
      <w:pPr>
        <w:ind w:firstLine="1120" w:firstLineChars="400"/>
        <w:rPr>
          <w:sz w:val="28"/>
          <w:szCs w:val="28"/>
        </w:rPr>
      </w:pPr>
      <w:r>
        <w:rPr>
          <w:rFonts w:hint="eastAsia"/>
          <w:sz w:val="28"/>
          <w:szCs w:val="28"/>
        </w:rPr>
        <w:t>边门设计：密集架边列均要求配有上下分体的带锁内嵌式对开门，门手柄造型要求美观大方，便于使用。</w:t>
      </w:r>
      <w:r>
        <w:rPr>
          <w:sz w:val="28"/>
          <w:szCs w:val="28"/>
        </w:rPr>
        <w:t xml:space="preserve"> </w:t>
      </w:r>
    </w:p>
    <w:p>
      <w:pPr>
        <w:pStyle w:val="29"/>
        <w:ind w:firstLine="560"/>
        <w:jc w:val="left"/>
        <w:rPr>
          <w:rFonts w:ascii="宋体"/>
          <w:color w:val="000000"/>
          <w:sz w:val="28"/>
          <w:szCs w:val="28"/>
        </w:rPr>
      </w:pPr>
      <w:r>
        <w:rPr>
          <w:rFonts w:ascii="宋体" w:hAnsi="宋体"/>
          <w:color w:val="000000"/>
          <w:sz w:val="28"/>
          <w:szCs w:val="28"/>
        </w:rPr>
        <w:t>1</w:t>
      </w:r>
      <w:r>
        <w:rPr>
          <w:rFonts w:hint="eastAsia" w:ascii="宋体" w:hAnsi="宋体"/>
          <w:color w:val="000000"/>
          <w:sz w:val="28"/>
          <w:szCs w:val="28"/>
        </w:rPr>
        <w:t>、 侧板标签框：采用一次冲压成型的</w:t>
      </w:r>
      <w:r>
        <w:rPr>
          <w:rFonts w:ascii="宋体" w:hAnsi="宋体"/>
          <w:color w:val="000000"/>
          <w:sz w:val="28"/>
          <w:szCs w:val="28"/>
        </w:rPr>
        <w:t>1</w:t>
      </w:r>
      <w:r>
        <w:rPr>
          <w:rFonts w:hint="eastAsia" w:ascii="宋体" w:hAnsi="宋体"/>
          <w:color w:val="000000"/>
          <w:sz w:val="28"/>
          <w:szCs w:val="28"/>
        </w:rPr>
        <w:t>个标签框，标签框规格为</w:t>
      </w:r>
      <w:r>
        <w:rPr>
          <w:rFonts w:ascii="宋体" w:hAnsi="宋体"/>
          <w:color w:val="000000"/>
          <w:sz w:val="28"/>
          <w:szCs w:val="28"/>
        </w:rPr>
        <w:t>305</w:t>
      </w:r>
      <w:r>
        <w:rPr>
          <w:rFonts w:hint="eastAsia" w:ascii="宋体" w:hAnsi="宋体"/>
          <w:color w:val="000000"/>
          <w:sz w:val="28"/>
          <w:szCs w:val="28"/>
        </w:rPr>
        <w:t>㎜×</w:t>
      </w:r>
      <w:r>
        <w:rPr>
          <w:rFonts w:ascii="宋体" w:hAnsi="宋体"/>
          <w:color w:val="000000"/>
          <w:sz w:val="28"/>
          <w:szCs w:val="28"/>
        </w:rPr>
        <w:t>215</w:t>
      </w:r>
      <w:r>
        <w:rPr>
          <w:rFonts w:hint="eastAsia" w:ascii="宋体" w:hAnsi="宋体"/>
          <w:color w:val="000000"/>
          <w:sz w:val="28"/>
          <w:szCs w:val="28"/>
        </w:rPr>
        <w:t>㎜（±</w:t>
      </w:r>
      <w:r>
        <w:rPr>
          <w:rFonts w:ascii="宋体" w:hAnsi="宋体"/>
          <w:color w:val="000000"/>
          <w:sz w:val="28"/>
          <w:szCs w:val="28"/>
        </w:rPr>
        <w:t>2</w:t>
      </w:r>
      <w:r>
        <w:rPr>
          <w:rFonts w:hint="eastAsia" w:ascii="宋体" w:hAnsi="宋体"/>
          <w:color w:val="000000"/>
          <w:sz w:val="28"/>
          <w:szCs w:val="28"/>
        </w:rPr>
        <w:t>㎜）。</w:t>
      </w:r>
    </w:p>
    <w:p>
      <w:pPr>
        <w:pStyle w:val="29"/>
        <w:ind w:left="980" w:leftChars="200" w:hanging="560" w:hangingChars="200"/>
        <w:jc w:val="left"/>
        <w:rPr>
          <w:rFonts w:ascii="宋体"/>
          <w:sz w:val="28"/>
          <w:szCs w:val="28"/>
        </w:rPr>
      </w:pPr>
      <w:r>
        <w:rPr>
          <w:rFonts w:ascii="宋体" w:hAnsi="宋体"/>
          <w:color w:val="000000"/>
          <w:sz w:val="28"/>
          <w:szCs w:val="28"/>
        </w:rPr>
        <w:t>2</w:t>
      </w:r>
      <w:r>
        <w:rPr>
          <w:rFonts w:hint="eastAsia" w:ascii="宋体" w:hAnsi="宋体"/>
          <w:color w:val="000000"/>
          <w:sz w:val="28"/>
          <w:szCs w:val="28"/>
        </w:rPr>
        <w:t>、 外观设计：在标签框上方设计棱形装饰孔，单个规格为</w:t>
      </w:r>
      <w:r>
        <w:rPr>
          <w:rFonts w:ascii="宋体" w:hAnsi="宋体"/>
          <w:color w:val="000000"/>
          <w:sz w:val="28"/>
          <w:szCs w:val="28"/>
        </w:rPr>
        <w:t>10</w:t>
      </w:r>
      <w:r>
        <w:rPr>
          <w:rFonts w:hint="eastAsia" w:ascii="宋体" w:hAnsi="宋体"/>
          <w:color w:val="000000"/>
          <w:sz w:val="28"/>
          <w:szCs w:val="28"/>
        </w:rPr>
        <w:t>㎜×</w:t>
      </w:r>
      <w:r>
        <w:rPr>
          <w:rFonts w:ascii="宋体" w:hAnsi="宋体"/>
          <w:color w:val="000000"/>
          <w:sz w:val="28"/>
          <w:szCs w:val="28"/>
        </w:rPr>
        <w:t>10</w:t>
      </w:r>
      <w:r>
        <w:rPr>
          <w:rFonts w:hint="eastAsia" w:ascii="宋体" w:hAnsi="宋体"/>
          <w:color w:val="000000"/>
          <w:sz w:val="28"/>
          <w:szCs w:val="28"/>
        </w:rPr>
        <w:t>㎜（±</w:t>
      </w:r>
      <w:r>
        <w:rPr>
          <w:rFonts w:ascii="宋体" w:hAnsi="宋体"/>
          <w:color w:val="000000"/>
          <w:sz w:val="28"/>
          <w:szCs w:val="28"/>
        </w:rPr>
        <w:t>1</w:t>
      </w:r>
      <w:r>
        <w:rPr>
          <w:rFonts w:hint="eastAsia" w:ascii="宋体" w:hAnsi="宋体"/>
          <w:color w:val="000000"/>
          <w:sz w:val="28"/>
          <w:szCs w:val="28"/>
        </w:rPr>
        <w:t>㎜），采用横</w:t>
      </w:r>
      <w:r>
        <w:rPr>
          <w:rFonts w:ascii="宋体" w:hAnsi="宋体"/>
          <w:color w:val="000000"/>
          <w:sz w:val="28"/>
          <w:szCs w:val="28"/>
        </w:rPr>
        <w:t>8</w:t>
      </w:r>
      <w:r>
        <w:rPr>
          <w:rFonts w:hint="eastAsia" w:ascii="宋体" w:hAnsi="宋体"/>
          <w:color w:val="000000"/>
          <w:sz w:val="28"/>
          <w:szCs w:val="28"/>
        </w:rPr>
        <w:t>竖</w:t>
      </w:r>
      <w:r>
        <w:rPr>
          <w:rFonts w:ascii="宋体" w:hAnsi="宋体"/>
          <w:color w:val="000000"/>
          <w:sz w:val="28"/>
          <w:szCs w:val="28"/>
        </w:rPr>
        <w:t>8</w:t>
      </w:r>
      <w:r>
        <w:rPr>
          <w:rFonts w:hint="eastAsia" w:ascii="宋体" w:hAnsi="宋体"/>
          <w:color w:val="000000"/>
          <w:sz w:val="28"/>
          <w:szCs w:val="28"/>
        </w:rPr>
        <w:t>均匀布局。密集架主副侧板均采用双色配色搭配，颜色要求为密集架门板、搁板、挂板、立中板、挡条、以及主副侧板中间部分等喷象牙白桔纹磨砂塑粉，顶板、门框、底座以及主副侧板边装饰条喷桔纹磨砂灰色塑粉。</w:t>
      </w:r>
    </w:p>
    <w:p>
      <w:pPr>
        <w:pStyle w:val="29"/>
        <w:ind w:left="980" w:leftChars="200" w:hanging="560" w:hangingChars="200"/>
        <w:jc w:val="left"/>
        <w:rPr>
          <w:rFonts w:ascii="宋体"/>
          <w:color w:val="000000"/>
          <w:sz w:val="28"/>
          <w:szCs w:val="28"/>
        </w:rPr>
      </w:pPr>
      <w:r>
        <w:rPr>
          <w:rFonts w:ascii="宋体" w:hAnsi="宋体"/>
          <w:color w:val="000000"/>
          <w:sz w:val="28"/>
          <w:szCs w:val="28"/>
        </w:rPr>
        <w:t>3</w:t>
      </w:r>
      <w:r>
        <w:rPr>
          <w:rFonts w:hint="eastAsia" w:ascii="宋体" w:hAnsi="宋体"/>
          <w:color w:val="000000"/>
          <w:sz w:val="28"/>
          <w:szCs w:val="28"/>
        </w:rPr>
        <w:t>、 边列门设计（下图所示）：密集档案架边门均要求配有上下分体的带锁内嵌式对开</w:t>
      </w:r>
      <w:r>
        <w:rPr>
          <w:rFonts w:ascii="宋体" w:hAnsi="宋体"/>
          <w:color w:val="000000"/>
          <w:sz w:val="28"/>
          <w:szCs w:val="28"/>
        </w:rPr>
        <w:t xml:space="preserve"> </w:t>
      </w:r>
      <w:r>
        <w:rPr>
          <w:rFonts w:hint="eastAsia" w:ascii="宋体" w:hAnsi="宋体"/>
          <w:color w:val="000000"/>
          <w:sz w:val="28"/>
          <w:szCs w:val="28"/>
        </w:rPr>
        <w:t>门，锁具为椭圆形</w:t>
      </w:r>
      <w:r>
        <w:rPr>
          <w:rFonts w:ascii="宋体" w:hAnsi="宋体"/>
          <w:color w:val="000000"/>
          <w:sz w:val="28"/>
          <w:szCs w:val="28"/>
        </w:rPr>
        <w:t>,</w:t>
      </w:r>
      <w:r>
        <w:rPr>
          <w:rFonts w:hint="eastAsia" w:ascii="宋体" w:hAnsi="宋体"/>
          <w:color w:val="000000"/>
          <w:sz w:val="28"/>
          <w:szCs w:val="28"/>
        </w:rPr>
        <w:t>锁具在未锁定柜体时可以利用旋钮自由关闭柜门，防止门因震动或其它原因自己打开，需要上锁时才用钥匙锁定，避免了常规只有用钥匙才能打开、关闭柜门的弊端。右门右上角冲有标签框，方便管理。门板四角处冲压有太阳花纹，太阳花纹外形大于</w:t>
      </w:r>
      <w:r>
        <w:rPr>
          <w:rFonts w:ascii="宋体" w:hAnsi="宋体"/>
          <w:color w:val="000000"/>
          <w:sz w:val="28"/>
          <w:szCs w:val="28"/>
        </w:rPr>
        <w:t>95*95mm</w:t>
      </w:r>
      <w:r>
        <w:rPr>
          <w:rFonts w:hint="eastAsia" w:ascii="宋体" w:hAnsi="宋体"/>
          <w:color w:val="000000"/>
          <w:sz w:val="28"/>
          <w:szCs w:val="28"/>
        </w:rPr>
        <w:t>，太阳花纹是中国传统纹案造型，象征对太阳的崇拜和信仰，体现传统中国传统装饰文化。</w:t>
      </w:r>
    </w:p>
    <w:p>
      <w:pPr>
        <w:ind w:firstLine="105" w:firstLineChars="50"/>
        <w:jc w:val="left"/>
      </w:pPr>
      <w:r>
        <w:t xml:space="preserve">    </w:t>
      </w:r>
      <w:r>
        <w:rPr>
          <w:rFonts w:hint="eastAsia"/>
        </w:rPr>
        <w:t xml:space="preserve">                     </w:t>
      </w:r>
      <w:r>
        <w:t xml:space="preserve"> </w:t>
      </w:r>
      <w:r>
        <w:rPr>
          <w:rFonts w:ascii="宋体"/>
          <w:szCs w:val="21"/>
        </w:rPr>
        <w:drawing>
          <wp:inline distT="0" distB="0" distL="0" distR="0">
            <wp:extent cx="1896745" cy="2073275"/>
            <wp:effectExtent l="0" t="0" r="8255" b="3175"/>
            <wp:docPr id="5" name="图片 3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0740"/>
                    <pic:cNvPicPr>
                      <a:picLocks noChangeAspect="1" noChangeArrowheads="1"/>
                    </pic:cNvPicPr>
                  </pic:nvPicPr>
                  <pic:blipFill>
                    <a:blip r:embed="rId73" cstate="print"/>
                    <a:srcRect/>
                    <a:stretch>
                      <a:fillRect/>
                    </a:stretch>
                  </pic:blipFill>
                  <pic:spPr>
                    <a:xfrm>
                      <a:off x="0" y="0"/>
                      <a:ext cx="1904712" cy="2081798"/>
                    </a:xfrm>
                    <a:prstGeom prst="rect">
                      <a:avLst/>
                    </a:prstGeom>
                    <a:noFill/>
                    <a:ln w="9525">
                      <a:noFill/>
                      <a:miter lim="800000"/>
                      <a:headEnd/>
                      <a:tailEnd/>
                    </a:ln>
                  </pic:spPr>
                </pic:pic>
              </a:graphicData>
            </a:graphic>
          </wp:inline>
        </w:drawing>
      </w:r>
    </w:p>
    <w:p>
      <w:pPr>
        <w:rPr>
          <w:rStyle w:val="44"/>
          <w:sz w:val="24"/>
          <w:szCs w:val="24"/>
        </w:rPr>
      </w:pPr>
      <w:r>
        <w:rPr>
          <w:rStyle w:val="44"/>
          <w:rFonts w:hint="eastAsia"/>
          <w:sz w:val="24"/>
          <w:szCs w:val="24"/>
        </w:rPr>
        <w:t>（六）生产工艺要求：</w:t>
      </w:r>
    </w:p>
    <w:p>
      <w:pPr>
        <w:pStyle w:val="29"/>
        <w:numPr>
          <w:ilvl w:val="0"/>
          <w:numId w:val="6"/>
        </w:numPr>
        <w:ind w:firstLineChars="0"/>
        <w:rPr>
          <w:rFonts w:ascii="宋体" w:hAnsi="宋体"/>
          <w:color w:val="000000"/>
          <w:sz w:val="28"/>
          <w:szCs w:val="28"/>
        </w:rPr>
      </w:pPr>
      <w:r>
        <w:rPr>
          <w:rFonts w:hint="eastAsia" w:ascii="宋体" w:hAnsi="宋体"/>
          <w:color w:val="000000"/>
          <w:sz w:val="28"/>
          <w:szCs w:val="28"/>
        </w:rPr>
        <w:t>钣金件质量：所有钣金件、机加件加工后应无毛刺、无裂纹及伤痕；所有板材部件均不可焊拼接，要求一体成型；除底盘结构拼接外，其余部件原材料严禁采用人为拼接方式生产部件。</w:t>
      </w:r>
    </w:p>
    <w:p>
      <w:pPr>
        <w:pStyle w:val="29"/>
        <w:numPr>
          <w:ilvl w:val="0"/>
          <w:numId w:val="6"/>
        </w:numPr>
        <w:ind w:firstLineChars="0"/>
        <w:rPr>
          <w:rFonts w:ascii="宋体" w:hAnsi="宋体"/>
          <w:color w:val="000000"/>
          <w:sz w:val="28"/>
          <w:szCs w:val="28"/>
        </w:rPr>
      </w:pPr>
      <w:r>
        <w:rPr>
          <w:rFonts w:hint="eastAsia" w:ascii="宋体" w:hAnsi="宋体"/>
          <w:color w:val="000000"/>
          <w:sz w:val="28"/>
          <w:szCs w:val="28"/>
        </w:rPr>
        <w:t>表面处理：前处理工序：各部零件在涂覆前，必须进行预脱脂-脱脂-水洗-酸洗-水洗-中和-表调-皮膜-水洗-钝化十工位表面前处理工序，所用标准件及紧固件均需氧化或镀锌处理。</w:t>
      </w:r>
    </w:p>
    <w:p>
      <w:pPr>
        <w:pStyle w:val="29"/>
        <w:numPr>
          <w:ilvl w:val="0"/>
          <w:numId w:val="6"/>
        </w:numPr>
        <w:ind w:firstLineChars="0"/>
        <w:rPr>
          <w:rFonts w:ascii="宋体" w:hAnsi="宋体"/>
          <w:color w:val="000000"/>
          <w:sz w:val="28"/>
          <w:szCs w:val="28"/>
        </w:rPr>
      </w:pPr>
      <w:r>
        <w:rPr>
          <w:rFonts w:hint="eastAsia" w:ascii="宋体" w:hAnsi="宋体"/>
          <w:color w:val="000000"/>
          <w:sz w:val="28"/>
          <w:szCs w:val="28"/>
        </w:rPr>
        <w:t>喷塑粉料：经过表面酸洗皮膜处理工艺后，采用优质环保粉末进行喷塑（参考品牌：阿克苏或同等及以上档次）。</w:t>
      </w:r>
    </w:p>
    <w:p>
      <w:pPr>
        <w:pStyle w:val="29"/>
        <w:numPr>
          <w:ilvl w:val="0"/>
          <w:numId w:val="6"/>
        </w:numPr>
        <w:ind w:firstLineChars="0"/>
        <w:rPr>
          <w:rFonts w:ascii="宋体" w:hAnsi="宋体"/>
          <w:color w:val="000000"/>
          <w:sz w:val="28"/>
          <w:szCs w:val="28"/>
        </w:rPr>
      </w:pPr>
      <w:r>
        <w:rPr>
          <w:rFonts w:hint="eastAsia" w:ascii="宋体" w:hAnsi="宋体"/>
          <w:color w:val="000000"/>
          <w:sz w:val="28"/>
          <w:szCs w:val="28"/>
        </w:rPr>
        <w:t>喷塑要求：涂层表面应光滑平整，色泽均匀一致，不应有流挂、起粒、皱皮、露底、剥落、伤痕等缺陷；密集架各工件弯角、边角折弯处不允许出现漏喷塑粉情况。</w:t>
      </w:r>
    </w:p>
    <w:p>
      <w:pPr>
        <w:rPr>
          <w:rFonts w:ascii="宋体" w:hAnsi="宋体"/>
          <w:color w:val="000000"/>
          <w:sz w:val="28"/>
          <w:szCs w:val="28"/>
        </w:rPr>
      </w:pPr>
    </w:p>
    <w:p>
      <w:pPr>
        <w:rPr>
          <w:rFonts w:ascii="宋体" w:hAnsi="宋体"/>
          <w:color w:val="000000"/>
          <w:sz w:val="28"/>
          <w:szCs w:val="28"/>
        </w:rPr>
      </w:pPr>
      <w:r>
        <w:rPr>
          <w:rFonts w:hint="eastAsia" w:ascii="宋体" w:hAnsi="宋体"/>
          <w:color w:val="000000"/>
          <w:sz w:val="28"/>
          <w:szCs w:val="28"/>
        </w:rPr>
        <w:t>小样要求：</w:t>
      </w:r>
    </w:p>
    <w:p>
      <w:pPr>
        <w:rPr>
          <w:rFonts w:ascii="宋体" w:hAnsi="宋体"/>
          <w:color w:val="000000"/>
          <w:sz w:val="28"/>
          <w:szCs w:val="28"/>
        </w:rPr>
      </w:pPr>
      <w:r>
        <w:rPr>
          <w:rFonts w:hint="eastAsia" w:ascii="宋体" w:hAnsi="宋体"/>
          <w:color w:val="000000"/>
          <w:sz w:val="28"/>
          <w:szCs w:val="28"/>
        </w:rPr>
        <w:t xml:space="preserve"> </w:t>
      </w:r>
      <w:r>
        <w:rPr>
          <w:rFonts w:ascii="宋体" w:hAnsi="宋体"/>
          <w:color w:val="000000"/>
          <w:sz w:val="28"/>
          <w:szCs w:val="28"/>
        </w:rPr>
        <w:t xml:space="preserve">  1</w:t>
      </w:r>
      <w:r>
        <w:rPr>
          <w:rFonts w:hint="eastAsia" w:ascii="宋体" w:hAnsi="宋体"/>
          <w:color w:val="000000"/>
          <w:sz w:val="28"/>
          <w:szCs w:val="28"/>
          <w:lang w:eastAsia="zh-CN"/>
        </w:rPr>
        <w:t>、</w:t>
      </w:r>
      <w:r>
        <w:rPr>
          <w:rFonts w:hint="eastAsia" w:ascii="宋体" w:hAnsi="宋体"/>
          <w:color w:val="000000"/>
          <w:sz w:val="28"/>
          <w:szCs w:val="28"/>
        </w:rPr>
        <w:t>中列立柱小样，尺寸≥3</w:t>
      </w:r>
      <w:r>
        <w:rPr>
          <w:rFonts w:ascii="宋体" w:hAnsi="宋体"/>
          <w:color w:val="000000"/>
          <w:sz w:val="28"/>
          <w:szCs w:val="28"/>
        </w:rPr>
        <w:t>00</w:t>
      </w:r>
      <w:r>
        <w:rPr>
          <w:rFonts w:hint="eastAsia" w:ascii="宋体" w:hAnsi="宋体"/>
          <w:color w:val="000000"/>
          <w:sz w:val="28"/>
          <w:szCs w:val="28"/>
        </w:rPr>
        <w:t>*45(mm)</w:t>
      </w:r>
      <w:r>
        <w:rPr>
          <w:rFonts w:ascii="宋体" w:hAnsi="宋体"/>
          <w:color w:val="000000"/>
          <w:sz w:val="28"/>
          <w:szCs w:val="28"/>
        </w:rPr>
        <w:t>,</w:t>
      </w:r>
      <w:r>
        <w:rPr>
          <w:rFonts w:hint="eastAsia" w:ascii="宋体" w:hAnsi="宋体"/>
          <w:color w:val="000000"/>
          <w:sz w:val="28"/>
          <w:szCs w:val="28"/>
        </w:rPr>
        <w:t>数量</w:t>
      </w:r>
      <w:r>
        <w:rPr>
          <w:rFonts w:ascii="宋体" w:hAnsi="宋体"/>
          <w:color w:val="000000"/>
          <w:sz w:val="28"/>
          <w:szCs w:val="28"/>
        </w:rPr>
        <w:t>1</w:t>
      </w:r>
      <w:r>
        <w:rPr>
          <w:rFonts w:hint="eastAsia" w:ascii="宋体" w:hAnsi="宋体"/>
          <w:color w:val="000000"/>
          <w:sz w:val="28"/>
          <w:szCs w:val="28"/>
        </w:rPr>
        <w:t>件，材料厚度δ≥1.</w:t>
      </w:r>
      <w:r>
        <w:rPr>
          <w:rFonts w:ascii="宋体" w:hAnsi="宋体"/>
          <w:color w:val="000000"/>
          <w:sz w:val="28"/>
          <w:szCs w:val="28"/>
        </w:rPr>
        <w:t>1</w:t>
      </w:r>
      <w:r>
        <w:rPr>
          <w:rFonts w:hint="eastAsia" w:ascii="宋体" w:hAnsi="宋体"/>
          <w:color w:val="000000"/>
          <w:sz w:val="28"/>
          <w:szCs w:val="28"/>
        </w:rPr>
        <w:t>mm，立柱正面宽度为≥45mm，立柱正面压一条加强筋，加强筋上压有纹路造型，两侧面各压两条的加强筋，共五条加强筋（样式如下图所示）</w:t>
      </w:r>
    </w:p>
    <w:p>
      <w:r>
        <w:rPr>
          <w:rFonts w:hint="eastAsia" w:ascii="宋体" w:hAnsi="宋体"/>
          <w:color w:val="000000"/>
          <w:sz w:val="28"/>
          <w:szCs w:val="28"/>
        </w:rPr>
        <w:t xml:space="preserve"> </w:t>
      </w:r>
      <w:r>
        <w:rPr>
          <w:rFonts w:ascii="宋体" w:hAnsi="宋体"/>
          <w:color w:val="000000"/>
          <w:sz w:val="28"/>
          <w:szCs w:val="28"/>
        </w:rPr>
        <w:t xml:space="preserve">   </w:t>
      </w:r>
      <w:r>
        <w:drawing>
          <wp:inline distT="0" distB="0" distL="0" distR="0">
            <wp:extent cx="1830705" cy="1408430"/>
            <wp:effectExtent l="0" t="0" r="17145" b="127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830705" cy="1408430"/>
                    </a:xfrm>
                    <a:prstGeom prst="rect">
                      <a:avLst/>
                    </a:prstGeom>
                    <a:noFill/>
                    <a:ln>
                      <a:noFill/>
                    </a:ln>
                  </pic:spPr>
                </pic:pic>
              </a:graphicData>
            </a:graphic>
          </wp:inline>
        </w:drawing>
      </w:r>
      <w:r>
        <w:rPr>
          <w:rFonts w:ascii="宋体" w:hAnsi="宋体"/>
          <w:color w:val="000000"/>
          <w:sz w:val="28"/>
          <w:szCs w:val="28"/>
        </w:rPr>
        <w:t xml:space="preserve"> </w:t>
      </w:r>
      <w:r>
        <w:drawing>
          <wp:inline distT="0" distB="0" distL="0" distR="0">
            <wp:extent cx="2973705" cy="1291590"/>
            <wp:effectExtent l="0" t="0" r="17145" b="3810"/>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973705" cy="1291590"/>
                    </a:xfrm>
                    <a:prstGeom prst="rect">
                      <a:avLst/>
                    </a:prstGeom>
                    <a:noFill/>
                    <a:ln>
                      <a:noFill/>
                    </a:ln>
                  </pic:spPr>
                </pic:pic>
              </a:graphicData>
            </a:graphic>
          </wp:inline>
        </w:drawing>
      </w:r>
    </w:p>
    <w:p>
      <w:pPr>
        <w:tabs>
          <w:tab w:val="left" w:pos="260"/>
        </w:tabs>
        <w:rPr>
          <w:rFonts w:ascii="宋体" w:hAnsi="宋体"/>
          <w:color w:val="000000"/>
          <w:sz w:val="28"/>
          <w:szCs w:val="28"/>
        </w:rPr>
      </w:pPr>
      <w:r>
        <w:rPr>
          <w:rFonts w:ascii="宋体" w:hAnsi="宋体"/>
          <w:sz w:val="28"/>
          <w:szCs w:val="28"/>
        </w:rPr>
        <w:tab/>
      </w:r>
      <w:r>
        <w:rPr>
          <w:rFonts w:ascii="宋体" w:hAnsi="宋体"/>
          <w:sz w:val="28"/>
          <w:szCs w:val="28"/>
        </w:rPr>
        <w:t>2</w:t>
      </w:r>
      <w:r>
        <w:rPr>
          <w:rFonts w:hint="eastAsia" w:ascii="宋体" w:hAnsi="宋体"/>
          <w:sz w:val="28"/>
          <w:szCs w:val="28"/>
          <w:lang w:eastAsia="zh-CN"/>
        </w:rPr>
        <w:t>、</w:t>
      </w:r>
      <w:r>
        <w:rPr>
          <w:rFonts w:hint="eastAsia" w:ascii="宋体" w:hAnsi="宋体"/>
          <w:sz w:val="28"/>
          <w:szCs w:val="28"/>
        </w:rPr>
        <w:t>上层搁板小样，尺寸</w:t>
      </w:r>
      <w:r>
        <w:rPr>
          <w:rFonts w:hint="eastAsia" w:ascii="宋体" w:hAnsi="宋体"/>
          <w:color w:val="000000"/>
          <w:sz w:val="28"/>
          <w:szCs w:val="28"/>
        </w:rPr>
        <w:t>≥3</w:t>
      </w:r>
      <w:r>
        <w:rPr>
          <w:rFonts w:ascii="宋体" w:hAnsi="宋体"/>
          <w:color w:val="000000"/>
          <w:sz w:val="28"/>
          <w:szCs w:val="28"/>
        </w:rPr>
        <w:t>00*2</w:t>
      </w:r>
      <w:r>
        <w:rPr>
          <w:rFonts w:hint="eastAsia" w:ascii="宋体" w:hAnsi="宋体"/>
          <w:color w:val="000000"/>
          <w:sz w:val="28"/>
          <w:szCs w:val="28"/>
        </w:rPr>
        <w:t>0</w:t>
      </w:r>
      <w:r>
        <w:rPr>
          <w:rFonts w:ascii="宋体" w:hAnsi="宋体"/>
          <w:color w:val="000000"/>
          <w:sz w:val="28"/>
          <w:szCs w:val="28"/>
        </w:rPr>
        <w:t>0*25</w:t>
      </w:r>
      <w:r>
        <w:rPr>
          <w:rFonts w:hint="eastAsia" w:ascii="宋体" w:hAnsi="宋体"/>
          <w:color w:val="000000"/>
          <w:sz w:val="28"/>
          <w:szCs w:val="28"/>
        </w:rPr>
        <w:t>（m</w:t>
      </w:r>
      <w:r>
        <w:rPr>
          <w:rFonts w:ascii="宋体" w:hAnsi="宋体"/>
          <w:color w:val="000000"/>
          <w:sz w:val="28"/>
          <w:szCs w:val="28"/>
        </w:rPr>
        <w:t>m）</w:t>
      </w:r>
      <w:r>
        <w:rPr>
          <w:rFonts w:hint="eastAsia" w:ascii="宋体" w:hAnsi="宋体"/>
          <w:color w:val="000000"/>
          <w:sz w:val="28"/>
          <w:szCs w:val="28"/>
        </w:rPr>
        <w:t>，数量</w:t>
      </w:r>
      <w:r>
        <w:rPr>
          <w:rFonts w:ascii="宋体" w:hAnsi="宋体"/>
          <w:color w:val="000000"/>
          <w:sz w:val="28"/>
          <w:szCs w:val="28"/>
        </w:rPr>
        <w:t>1</w:t>
      </w:r>
      <w:r>
        <w:rPr>
          <w:rFonts w:hint="eastAsia" w:ascii="宋体" w:hAnsi="宋体"/>
          <w:color w:val="000000"/>
          <w:sz w:val="28"/>
          <w:szCs w:val="28"/>
        </w:rPr>
        <w:t>件，材料厚度δ≥</w:t>
      </w:r>
      <w:r>
        <w:rPr>
          <w:rFonts w:ascii="宋体" w:hAnsi="宋体"/>
          <w:color w:val="000000"/>
          <w:sz w:val="28"/>
          <w:szCs w:val="28"/>
        </w:rPr>
        <w:t>0.9</w:t>
      </w:r>
      <w:r>
        <w:rPr>
          <w:rFonts w:hint="eastAsia" w:ascii="宋体" w:hAnsi="宋体"/>
          <w:color w:val="000000"/>
          <w:sz w:val="28"/>
          <w:szCs w:val="28"/>
        </w:rPr>
        <w:t>mm，搁板采用六次折弯成型以增强其承载力，搁板采用全自动滚压一次成型；搁板上面压八条加强筋，两侧面各压两条加强筋（样式如下图所示）</w:t>
      </w:r>
    </w:p>
    <w:p>
      <w:pPr>
        <w:tabs>
          <w:tab w:val="left" w:pos="260"/>
        </w:tabs>
        <w:rPr>
          <w:rFonts w:ascii="宋体" w:hAnsi="宋体"/>
          <w:color w:val="000000"/>
          <w:sz w:val="28"/>
          <w:szCs w:val="28"/>
        </w:rPr>
      </w:pPr>
      <w:r>
        <w:drawing>
          <wp:inline distT="0" distB="0" distL="0" distR="0">
            <wp:extent cx="3585210" cy="575945"/>
            <wp:effectExtent l="0" t="0" r="15240" b="1460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3585210" cy="575945"/>
                    </a:xfrm>
                    <a:prstGeom prst="rect">
                      <a:avLst/>
                    </a:prstGeom>
                    <a:noFill/>
                    <a:ln>
                      <a:noFill/>
                    </a:ln>
                  </pic:spPr>
                </pic:pic>
              </a:graphicData>
            </a:graphic>
          </wp:inline>
        </w:drawing>
      </w:r>
      <w:r>
        <w:rPr>
          <w:rFonts w:ascii="宋体" w:hAnsi="宋体"/>
          <w:color w:val="000000"/>
          <w:sz w:val="28"/>
          <w:szCs w:val="28"/>
        </w:rPr>
        <w:drawing>
          <wp:inline distT="0" distB="0" distL="0" distR="0">
            <wp:extent cx="1906905" cy="860425"/>
            <wp:effectExtent l="0" t="0" r="17145" b="15875"/>
            <wp:docPr id="6" name="图片 2" descr="C:\Users\Administrator\Documents\Tencent Files\3409212324\Image\C2C\UQSSH%ARX[WP(CB02QD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Users\Administrator\Documents\Tencent Files\3409212324\Image\C2C\UQSSH%ARX[WP(CB02QD45~6.png"/>
                    <pic:cNvPicPr>
                      <a:picLocks noChangeAspect="1" noChangeArrowheads="1"/>
                    </pic:cNvPicPr>
                  </pic:nvPicPr>
                  <pic:blipFill>
                    <a:blip r:embed="rId74" cstate="print"/>
                    <a:srcRect/>
                    <a:stretch>
                      <a:fillRect/>
                    </a:stretch>
                  </pic:blipFill>
                  <pic:spPr>
                    <a:xfrm>
                      <a:off x="0" y="0"/>
                      <a:ext cx="1913638" cy="863463"/>
                    </a:xfrm>
                    <a:prstGeom prst="rect">
                      <a:avLst/>
                    </a:prstGeom>
                    <a:noFill/>
                    <a:ln w="9525">
                      <a:noFill/>
                      <a:miter lim="800000"/>
                      <a:headEnd/>
                      <a:tailEnd/>
                    </a:ln>
                  </pic:spPr>
                </pic:pic>
              </a:graphicData>
            </a:graphic>
          </wp:inline>
        </w:drawing>
      </w:r>
    </w:p>
    <w:p>
      <w:pPr>
        <w:tabs>
          <w:tab w:val="left" w:pos="260"/>
        </w:tabs>
        <w:rPr>
          <w:rFonts w:ascii="宋体" w:hAnsi="宋体"/>
          <w:color w:val="000000"/>
          <w:sz w:val="28"/>
          <w:szCs w:val="28"/>
        </w:rPr>
      </w:pPr>
      <w:r>
        <w:rPr>
          <w:rFonts w:ascii="宋体" w:hAnsi="宋体"/>
          <w:color w:val="000000"/>
          <w:sz w:val="28"/>
          <w:szCs w:val="28"/>
        </w:rPr>
        <w:t xml:space="preserve">     </w:t>
      </w:r>
    </w:p>
    <w:p>
      <w:pPr>
        <w:tabs>
          <w:tab w:val="left" w:pos="260"/>
        </w:tabs>
        <w:rPr>
          <w:rFonts w:ascii="宋体" w:hAnsi="宋体"/>
          <w:color w:val="000000"/>
          <w:sz w:val="28"/>
          <w:szCs w:val="28"/>
        </w:rPr>
      </w:pPr>
      <w:r>
        <w:rPr>
          <w:rFonts w:hint="eastAsia" w:ascii="宋体" w:hAnsi="宋体"/>
          <w:sz w:val="28"/>
          <w:szCs w:val="28"/>
        </w:rPr>
        <w:t>3</w:t>
      </w:r>
      <w:r>
        <w:rPr>
          <w:rFonts w:hint="eastAsia" w:ascii="宋体" w:hAnsi="宋体"/>
          <w:sz w:val="28"/>
          <w:szCs w:val="28"/>
          <w:lang w:eastAsia="zh-CN"/>
        </w:rPr>
        <w:t>、</w:t>
      </w:r>
      <w:r>
        <w:rPr>
          <w:rFonts w:hint="eastAsia" w:ascii="宋体" w:hAnsi="宋体"/>
          <w:sz w:val="28"/>
          <w:szCs w:val="28"/>
        </w:rPr>
        <w:t>挂板小样，尺寸</w:t>
      </w:r>
      <w:r>
        <w:rPr>
          <w:rFonts w:hint="eastAsia" w:ascii="宋体" w:hAnsi="宋体"/>
          <w:color w:val="000000"/>
          <w:sz w:val="28"/>
          <w:szCs w:val="28"/>
        </w:rPr>
        <w:t>≥</w:t>
      </w:r>
      <w:r>
        <w:rPr>
          <w:rFonts w:ascii="宋体" w:hAnsi="宋体"/>
          <w:color w:val="000000"/>
          <w:sz w:val="28"/>
          <w:szCs w:val="28"/>
        </w:rPr>
        <w:t>5</w:t>
      </w:r>
      <w:r>
        <w:rPr>
          <w:rFonts w:hint="eastAsia" w:ascii="宋体" w:hAnsi="宋体"/>
          <w:color w:val="000000"/>
          <w:sz w:val="28"/>
          <w:szCs w:val="28"/>
        </w:rPr>
        <w:t>00</w:t>
      </w:r>
      <w:r>
        <w:rPr>
          <w:rFonts w:ascii="宋体" w:hAnsi="宋体"/>
          <w:color w:val="000000"/>
          <w:sz w:val="28"/>
          <w:szCs w:val="28"/>
        </w:rPr>
        <w:t>*130(mm),</w:t>
      </w:r>
      <w:r>
        <w:rPr>
          <w:rFonts w:hint="eastAsia" w:ascii="宋体" w:hAnsi="宋体"/>
          <w:color w:val="000000"/>
          <w:sz w:val="28"/>
          <w:szCs w:val="28"/>
        </w:rPr>
        <w:t xml:space="preserve"> 数量</w:t>
      </w:r>
      <w:r>
        <w:rPr>
          <w:rFonts w:ascii="宋体" w:hAnsi="宋体"/>
          <w:color w:val="000000"/>
          <w:sz w:val="28"/>
          <w:szCs w:val="28"/>
        </w:rPr>
        <w:t>1</w:t>
      </w:r>
      <w:r>
        <w:rPr>
          <w:rFonts w:hint="eastAsia" w:ascii="宋体" w:hAnsi="宋体"/>
          <w:color w:val="000000"/>
          <w:sz w:val="28"/>
          <w:szCs w:val="28"/>
        </w:rPr>
        <w:t>件， 材料厚度δ≥</w:t>
      </w:r>
      <w:r>
        <w:rPr>
          <w:rFonts w:ascii="宋体" w:hAnsi="宋体"/>
          <w:color w:val="000000"/>
          <w:sz w:val="28"/>
          <w:szCs w:val="28"/>
        </w:rPr>
        <w:t>0.9</w:t>
      </w:r>
      <w:r>
        <w:rPr>
          <w:rFonts w:hint="eastAsia" w:ascii="宋体" w:hAnsi="宋体"/>
          <w:color w:val="000000"/>
          <w:sz w:val="28"/>
          <w:szCs w:val="28"/>
        </w:rPr>
        <w:t>mm</w:t>
      </w:r>
      <w:r>
        <w:rPr>
          <w:rFonts w:ascii="宋体" w:hAnsi="宋体"/>
          <w:color w:val="000000"/>
          <w:sz w:val="28"/>
          <w:szCs w:val="28"/>
        </w:rPr>
        <w:t>,</w:t>
      </w:r>
      <w:r>
        <w:rPr>
          <w:rFonts w:hint="eastAsia" w:ascii="宋体" w:hAnsi="宋体"/>
          <w:color w:val="000000"/>
          <w:sz w:val="28"/>
          <w:szCs w:val="28"/>
        </w:rPr>
        <w:t>挂板上面压四条加强筋，挂板两端压自锁扣，与搁板孔配合（下图所示），起到装配自锁</w:t>
      </w:r>
    </w:p>
    <w:p>
      <w:pPr>
        <w:tabs>
          <w:tab w:val="left" w:pos="630"/>
        </w:tabs>
        <w:rPr>
          <w:rFonts w:ascii="宋体" w:hAnsi="宋体"/>
          <w:sz w:val="28"/>
          <w:szCs w:val="28"/>
        </w:rPr>
      </w:pPr>
      <w:r>
        <w:rPr>
          <w:rFonts w:ascii="宋体" w:hAnsi="宋体"/>
          <w:sz w:val="28"/>
          <w:szCs w:val="28"/>
        </w:rPr>
        <w:tab/>
      </w:r>
      <w:r>
        <w:rPr>
          <w:rFonts w:ascii="宋体" w:hAnsi="宋体" w:cs="宋体"/>
          <w:color w:val="000000"/>
          <w:kern w:val="0"/>
          <w:sz w:val="24"/>
        </w:rPr>
        <w:drawing>
          <wp:inline distT="0" distB="0" distL="0" distR="0">
            <wp:extent cx="2498090" cy="1054100"/>
            <wp:effectExtent l="0" t="0" r="16510" b="12700"/>
            <wp:docPr id="81" name="图片 6" descr="挂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 descr="挂板2"/>
                    <pic:cNvPicPr>
                      <a:picLocks noChangeAspect="1" noChangeArrowheads="1"/>
                    </pic:cNvPicPr>
                  </pic:nvPicPr>
                  <pic:blipFill>
                    <a:blip r:embed="rId66" cstate="print">
                      <a:extLst>
                        <a:ext uri="{28A0092B-C50C-407E-A947-70E740481C1C}">
                          <a14:useLocalDpi xmlns:a14="http://schemas.microsoft.com/office/drawing/2010/main" val="0"/>
                        </a:ext>
                      </a:extLst>
                    </a:blip>
                    <a:srcRect t="25745"/>
                    <a:stretch>
                      <a:fillRect/>
                    </a:stretch>
                  </pic:blipFill>
                  <pic:spPr>
                    <a:xfrm>
                      <a:off x="0" y="0"/>
                      <a:ext cx="2498090" cy="1054100"/>
                    </a:xfrm>
                    <a:prstGeom prst="rect">
                      <a:avLst/>
                    </a:prstGeom>
                    <a:noFill/>
                    <a:ln>
                      <a:noFill/>
                    </a:ln>
                  </pic:spPr>
                </pic:pic>
              </a:graphicData>
            </a:graphic>
          </wp:inline>
        </w:drawing>
      </w:r>
      <w:r>
        <w:rPr>
          <w:rFonts w:ascii="宋体" w:hAnsi="宋体"/>
          <w:sz w:val="28"/>
          <w:szCs w:val="28"/>
        </w:rPr>
        <w:t xml:space="preserve"> </w:t>
      </w:r>
      <w:r>
        <w:drawing>
          <wp:inline distT="0" distB="0" distL="0" distR="0">
            <wp:extent cx="2723515" cy="862965"/>
            <wp:effectExtent l="0" t="0" r="635" b="133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723515" cy="862965"/>
                    </a:xfrm>
                    <a:prstGeom prst="rect">
                      <a:avLst/>
                    </a:prstGeom>
                    <a:noFill/>
                    <a:ln>
                      <a:noFill/>
                    </a:ln>
                  </pic:spPr>
                </pic:pic>
              </a:graphicData>
            </a:graphic>
          </wp:inline>
        </w:drawing>
      </w:r>
    </w:p>
    <w:p>
      <w:pPr>
        <w:rPr>
          <w:rFonts w:ascii="宋体" w:hAnsi="宋体"/>
          <w:color w:val="000000"/>
          <w:sz w:val="28"/>
          <w:szCs w:val="28"/>
        </w:rPr>
      </w:pPr>
      <w:r>
        <w:rPr>
          <w:rFonts w:hint="eastAsia" w:ascii="宋体" w:hAnsi="宋体"/>
          <w:sz w:val="28"/>
          <w:szCs w:val="28"/>
        </w:rPr>
        <w:t>4</w:t>
      </w:r>
      <w:r>
        <w:rPr>
          <w:rFonts w:hint="eastAsia" w:ascii="宋体" w:hAnsi="宋体"/>
          <w:sz w:val="28"/>
          <w:szCs w:val="28"/>
          <w:lang w:eastAsia="zh-CN"/>
        </w:rPr>
        <w:t>、</w:t>
      </w:r>
      <w:r>
        <w:rPr>
          <w:rFonts w:hint="eastAsia" w:ascii="宋体" w:hAnsi="宋体"/>
          <w:color w:val="000000"/>
          <w:sz w:val="28"/>
          <w:szCs w:val="28"/>
        </w:rPr>
        <w:t>挡书条小样，</w:t>
      </w:r>
      <w:r>
        <w:rPr>
          <w:rFonts w:hint="eastAsia" w:ascii="宋体" w:hAnsi="宋体"/>
          <w:sz w:val="28"/>
          <w:szCs w:val="28"/>
        </w:rPr>
        <w:t>尺寸</w:t>
      </w:r>
      <w:r>
        <w:rPr>
          <w:rFonts w:hint="eastAsia" w:ascii="宋体" w:hAnsi="宋体"/>
          <w:color w:val="000000"/>
          <w:sz w:val="28"/>
          <w:szCs w:val="28"/>
        </w:rPr>
        <w:t>≥300</w:t>
      </w:r>
      <w:r>
        <w:rPr>
          <w:rFonts w:ascii="宋体" w:hAnsi="宋体"/>
          <w:color w:val="000000"/>
          <w:sz w:val="28"/>
          <w:szCs w:val="28"/>
        </w:rPr>
        <w:t>*20*15(mm)</w:t>
      </w:r>
      <w:r>
        <w:rPr>
          <w:rFonts w:hint="eastAsia" w:ascii="宋体" w:hAnsi="宋体"/>
          <w:color w:val="000000"/>
          <w:sz w:val="28"/>
          <w:szCs w:val="28"/>
        </w:rPr>
        <w:t>，数量</w:t>
      </w:r>
      <w:r>
        <w:rPr>
          <w:rFonts w:ascii="宋体" w:hAnsi="宋体"/>
          <w:color w:val="000000"/>
          <w:sz w:val="28"/>
          <w:szCs w:val="28"/>
        </w:rPr>
        <w:t>1</w:t>
      </w:r>
      <w:r>
        <w:rPr>
          <w:rFonts w:hint="eastAsia" w:ascii="宋体" w:hAnsi="宋体"/>
          <w:color w:val="000000"/>
          <w:sz w:val="28"/>
          <w:szCs w:val="28"/>
        </w:rPr>
        <w:t>件，材料厚度δ≥</w:t>
      </w:r>
      <w:r>
        <w:rPr>
          <w:rFonts w:ascii="宋体" w:hAnsi="宋体"/>
          <w:color w:val="000000"/>
          <w:sz w:val="28"/>
          <w:szCs w:val="28"/>
        </w:rPr>
        <w:t>0.8</w:t>
      </w:r>
      <w:r>
        <w:rPr>
          <w:rFonts w:hint="eastAsia" w:ascii="宋体" w:hAnsi="宋体"/>
          <w:color w:val="000000"/>
          <w:sz w:val="28"/>
          <w:szCs w:val="28"/>
        </w:rPr>
        <w:t>mm，采用全自动滚压一次成型，四次折弯，并压三条加强筋，与挂板配合处有防脱落倒扣，防止挡条脱落，以增加整个架体的稳定性。（样式如下图所示）</w:t>
      </w:r>
    </w:p>
    <w:p>
      <w:pPr>
        <w:spacing w:line="276" w:lineRule="auto"/>
        <w:jc w:val="center"/>
        <w:rPr>
          <w:rFonts w:hint="eastAsia" w:ascii="宋体" w:hAnsi="宋体" w:cs="宋体"/>
          <w:color w:val="000000"/>
          <w:kern w:val="0"/>
          <w:sz w:val="24"/>
        </w:rPr>
      </w:pPr>
      <w:r>
        <w:rPr>
          <w:color w:val="000000"/>
          <w:sz w:val="24"/>
        </w:rPr>
        <w:drawing>
          <wp:inline distT="0" distB="0" distL="0" distR="0">
            <wp:extent cx="2993390" cy="1578610"/>
            <wp:effectExtent l="0" t="0" r="16510" b="254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68" cstate="print">
                      <a:extLst>
                        <a:ext uri="{28A0092B-C50C-407E-A947-70E740481C1C}">
                          <a14:useLocalDpi xmlns:a14="http://schemas.microsoft.com/office/drawing/2010/main" val="0"/>
                        </a:ext>
                      </a:extLst>
                    </a:blip>
                    <a:srcRect l="3378" t="6754" r="3540" b="13135"/>
                    <a:stretch>
                      <a:fillRect/>
                    </a:stretch>
                  </pic:blipFill>
                  <pic:spPr>
                    <a:xfrm>
                      <a:off x="0" y="0"/>
                      <a:ext cx="2993390" cy="1578610"/>
                    </a:xfrm>
                    <a:prstGeom prst="rect">
                      <a:avLst/>
                    </a:prstGeom>
                    <a:noFill/>
                    <a:ln>
                      <a:noFill/>
                    </a:ln>
                  </pic:spPr>
                </pic:pic>
              </a:graphicData>
            </a:graphic>
          </wp:inline>
        </w:drawing>
      </w:r>
      <w:r>
        <w:rPr>
          <w:rFonts w:hint="eastAsia"/>
          <w:color w:val="000000"/>
          <w:sz w:val="24"/>
        </w:rPr>
        <w:t xml:space="preserve">  </w:t>
      </w:r>
      <w:r>
        <w:drawing>
          <wp:inline distT="0" distB="0" distL="0" distR="0">
            <wp:extent cx="2078990" cy="1587500"/>
            <wp:effectExtent l="0" t="0" r="16510" b="1270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078990" cy="1587500"/>
                    </a:xfrm>
                    <a:prstGeom prst="rect">
                      <a:avLst/>
                    </a:prstGeom>
                    <a:noFill/>
                    <a:ln>
                      <a:noFill/>
                    </a:ln>
                  </pic:spPr>
                </pic:pic>
              </a:graphicData>
            </a:graphic>
          </wp:inline>
        </w:drawing>
      </w:r>
      <w:r>
        <w:rPr>
          <w:rFonts w:hint="eastAsia"/>
          <w:color w:val="000000"/>
          <w:sz w:val="24"/>
        </w:rPr>
        <w:t xml:space="preserve"> </w:t>
      </w:r>
      <w:r>
        <w:rPr>
          <w:rFonts w:hint="eastAsia" w:ascii="宋体" w:hAnsi="宋体" w:cs="宋体"/>
          <w:color w:val="000000"/>
          <w:kern w:val="0"/>
          <w:sz w:val="24"/>
        </w:rPr>
        <w:t xml:space="preserve">   </w:t>
      </w:r>
    </w:p>
    <w:p>
      <w:pPr>
        <w:spacing w:line="276" w:lineRule="auto"/>
        <w:jc w:val="center"/>
        <w:rPr>
          <w:rFonts w:hint="eastAsia" w:ascii="宋体" w:hAnsi="宋体" w:cs="宋体"/>
          <w:color w:val="000000"/>
          <w:kern w:val="0"/>
          <w:sz w:val="24"/>
        </w:rPr>
      </w:pPr>
    </w:p>
    <w:p>
      <w:pPr>
        <w:spacing w:line="276" w:lineRule="auto"/>
        <w:jc w:val="center"/>
        <w:rPr>
          <w:rFonts w:hint="eastAsia" w:ascii="宋体" w:hAnsi="宋体" w:cs="宋体"/>
          <w:color w:val="000000"/>
          <w:kern w:val="0"/>
          <w:sz w:val="24"/>
        </w:rPr>
      </w:pPr>
    </w:p>
    <w:p>
      <w:pPr>
        <w:spacing w:line="276" w:lineRule="auto"/>
        <w:jc w:val="center"/>
        <w:rPr>
          <w:rFonts w:hint="eastAsia" w:ascii="宋体" w:hAnsi="宋体" w:cs="宋体"/>
          <w:color w:val="000000"/>
          <w:kern w:val="0"/>
          <w:sz w:val="24"/>
        </w:rPr>
      </w:pPr>
    </w:p>
    <w:p>
      <w:pPr>
        <w:spacing w:line="276" w:lineRule="auto"/>
        <w:jc w:val="center"/>
        <w:rPr>
          <w:rFonts w:ascii="宋体" w:hAnsi="宋体" w:cs="宋体"/>
          <w:color w:val="000000"/>
          <w:kern w:val="0"/>
          <w:sz w:val="24"/>
        </w:rPr>
      </w:pPr>
      <w:r>
        <w:rPr>
          <w:rFonts w:hint="eastAsia" w:ascii="宋体" w:hAnsi="宋体" w:cs="宋体"/>
          <w:color w:val="000000"/>
          <w:kern w:val="0"/>
          <w:sz w:val="24"/>
        </w:rPr>
        <w:t xml:space="preserve">    </w:t>
      </w:r>
    </w:p>
    <w:p>
      <w:pPr>
        <w:spacing w:line="276" w:lineRule="auto"/>
        <w:rPr>
          <w:rFonts w:ascii="宋体" w:hAnsi="宋体"/>
          <w:color w:val="000000"/>
          <w:sz w:val="28"/>
          <w:szCs w:val="28"/>
        </w:rPr>
      </w:pPr>
      <w:r>
        <w:rPr>
          <w:rStyle w:val="44"/>
          <w:rFonts w:hint="eastAsia"/>
          <w:sz w:val="24"/>
          <w:szCs w:val="24"/>
        </w:rPr>
        <w:t>5</w:t>
      </w:r>
      <w:r>
        <w:rPr>
          <w:rStyle w:val="44"/>
          <w:rFonts w:hint="eastAsia"/>
          <w:sz w:val="24"/>
          <w:szCs w:val="24"/>
          <w:lang w:eastAsia="zh-CN"/>
        </w:rPr>
        <w:t>、</w:t>
      </w:r>
      <w:r>
        <w:rPr>
          <w:rStyle w:val="44"/>
          <w:rFonts w:hint="eastAsia"/>
          <w:sz w:val="24"/>
          <w:szCs w:val="24"/>
        </w:rPr>
        <w:t xml:space="preserve"> 导正系统小样，</w:t>
      </w:r>
      <w:r>
        <w:rPr>
          <w:rFonts w:hint="eastAsia" w:ascii="宋体" w:hAnsi="宋体"/>
          <w:sz w:val="28"/>
          <w:szCs w:val="28"/>
        </w:rPr>
        <w:t>长度</w:t>
      </w:r>
      <w:r>
        <w:rPr>
          <w:rFonts w:hint="eastAsia" w:ascii="宋体" w:hAnsi="宋体"/>
          <w:color w:val="000000"/>
          <w:sz w:val="28"/>
          <w:szCs w:val="28"/>
        </w:rPr>
        <w:t>≥1050</w:t>
      </w:r>
      <w:r>
        <w:rPr>
          <w:rFonts w:ascii="宋体" w:hAnsi="宋体"/>
          <w:color w:val="000000"/>
          <w:sz w:val="28"/>
          <w:szCs w:val="28"/>
        </w:rPr>
        <w:t>mm</w:t>
      </w:r>
      <w:r>
        <w:rPr>
          <w:rFonts w:hint="eastAsia" w:ascii="宋体" w:hAnsi="宋体"/>
          <w:color w:val="000000"/>
          <w:sz w:val="28"/>
          <w:szCs w:val="28"/>
        </w:rPr>
        <w:t>，数量：1套，一端封口，一端不封口，整个系统包含滑轮架、护板、护板骨架、滚轮、限位轨等（样式如下图所示）</w:t>
      </w:r>
    </w:p>
    <w:p>
      <w:pPr>
        <w:spacing w:line="276" w:lineRule="auto"/>
        <w:jc w:val="center"/>
      </w:pPr>
      <w:r>
        <w:drawing>
          <wp:anchor distT="0" distB="0" distL="114300" distR="114300" simplePos="0" relativeHeight="251660288" behindDoc="0" locked="0" layoutInCell="1" allowOverlap="1">
            <wp:simplePos x="0" y="0"/>
            <wp:positionH relativeFrom="column">
              <wp:posOffset>605155</wp:posOffset>
            </wp:positionH>
            <wp:positionV relativeFrom="paragraph">
              <wp:posOffset>119380</wp:posOffset>
            </wp:positionV>
            <wp:extent cx="2520315" cy="1884680"/>
            <wp:effectExtent l="0" t="0" r="13335" b="1270"/>
            <wp:wrapNone/>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70" cstate="print"/>
                    <a:stretch>
                      <a:fillRect/>
                    </a:stretch>
                  </pic:blipFill>
                  <pic:spPr>
                    <a:xfrm>
                      <a:off x="0" y="0"/>
                      <a:ext cx="2524162" cy="1887518"/>
                    </a:xfrm>
                    <a:prstGeom prst="rect">
                      <a:avLst/>
                    </a:prstGeom>
                  </pic:spPr>
                </pic:pic>
              </a:graphicData>
            </a:graphic>
          </wp:anchor>
        </w:drawing>
      </w:r>
    </w:p>
    <w:p>
      <w:pPr>
        <w:spacing w:line="276" w:lineRule="auto"/>
        <w:jc w:val="center"/>
      </w:pPr>
    </w:p>
    <w:p>
      <w:pPr>
        <w:spacing w:line="276" w:lineRule="auto"/>
        <w:jc w:val="center"/>
      </w:pPr>
    </w:p>
    <w:p>
      <w:pPr>
        <w:spacing w:line="276" w:lineRule="auto"/>
        <w:jc w:val="center"/>
      </w:pPr>
    </w:p>
    <w:p>
      <w:pPr>
        <w:spacing w:line="276" w:lineRule="auto"/>
        <w:jc w:val="center"/>
      </w:pPr>
    </w:p>
    <w:p>
      <w:pPr>
        <w:spacing w:line="276" w:lineRule="auto"/>
        <w:jc w:val="center"/>
      </w:pPr>
    </w:p>
    <w:p>
      <w:pPr>
        <w:spacing w:line="276" w:lineRule="auto"/>
        <w:jc w:val="center"/>
      </w:pPr>
    </w:p>
    <w:p>
      <w:pPr>
        <w:spacing w:line="276" w:lineRule="auto"/>
        <w:jc w:val="center"/>
      </w:pPr>
    </w:p>
    <w:p>
      <w:pPr>
        <w:spacing w:line="276" w:lineRule="auto"/>
        <w:jc w:val="center"/>
        <w:rPr>
          <w:rFonts w:ascii="宋体" w:hAnsi="宋体" w:cs="宋体"/>
          <w:color w:val="000000"/>
          <w:kern w:val="0"/>
          <w:sz w:val="24"/>
        </w:rPr>
      </w:pPr>
      <w:r>
        <w:rPr>
          <w:rFonts w:hint="eastAsia" w:ascii="宋体" w:hAnsi="宋体" w:cs="宋体"/>
          <w:color w:val="000000"/>
          <w:kern w:val="0"/>
          <w:sz w:val="24"/>
        </w:rPr>
        <w:t xml:space="preserve">   </w:t>
      </w:r>
    </w:p>
    <w:p>
      <w:pPr>
        <w:jc w:val="center"/>
        <w:rPr>
          <w:sz w:val="24"/>
        </w:rPr>
      </w:pPr>
      <w:r>
        <w:rPr>
          <w:rFonts w:hint="eastAsia"/>
          <w:sz w:val="24"/>
        </w:rPr>
        <w:t xml:space="preserve">    </w:t>
      </w:r>
    </w:p>
    <w:p>
      <w:pPr>
        <w:tabs>
          <w:tab w:val="left" w:pos="630"/>
        </w:tabs>
        <w:rPr>
          <w:rFonts w:ascii="宋体" w:hAnsi="宋体"/>
          <w:color w:val="000000"/>
          <w:sz w:val="28"/>
          <w:szCs w:val="28"/>
        </w:rPr>
      </w:pPr>
      <w:r>
        <w:rPr>
          <w:rFonts w:hint="eastAsia" w:ascii="宋体" w:hAnsi="宋体"/>
          <w:color w:val="000000"/>
          <w:sz w:val="28"/>
          <w:szCs w:val="28"/>
        </w:rPr>
        <w:t>6</w:t>
      </w:r>
      <w:r>
        <w:rPr>
          <w:rFonts w:hint="eastAsia" w:ascii="宋体" w:hAnsi="宋体"/>
          <w:color w:val="000000"/>
          <w:sz w:val="28"/>
          <w:szCs w:val="28"/>
          <w:lang w:eastAsia="zh-CN"/>
        </w:rPr>
        <w:t>、</w:t>
      </w:r>
      <w:r>
        <w:rPr>
          <w:rFonts w:hint="eastAsia" w:ascii="宋体" w:hAnsi="宋体"/>
          <w:color w:val="000000"/>
          <w:sz w:val="28"/>
          <w:szCs w:val="28"/>
        </w:rPr>
        <w:t>密封条和卡槽，数量各1件，长度≥1000</w:t>
      </w:r>
      <w:r>
        <w:rPr>
          <w:rFonts w:ascii="宋体" w:hAnsi="宋体"/>
          <w:color w:val="000000"/>
          <w:sz w:val="28"/>
          <w:szCs w:val="28"/>
        </w:rPr>
        <w:t>mm,</w:t>
      </w:r>
      <w:r>
        <w:rPr>
          <w:rFonts w:hint="eastAsia" w:ascii="宋体" w:hAnsi="宋体"/>
          <w:color w:val="000000"/>
          <w:sz w:val="28"/>
          <w:szCs w:val="28"/>
        </w:rPr>
        <w:t>为防止密封条脱落，密封条采用卡槽方式固定，卡槽材质为PVC阻燃材料（样式如下图所示）</w:t>
      </w:r>
    </w:p>
    <w:p>
      <w:pPr>
        <w:tabs>
          <w:tab w:val="left" w:pos="630"/>
        </w:tabs>
        <w:ind w:firstLine="1995" w:firstLineChars="950"/>
        <w:rPr>
          <w:rFonts w:ascii="宋体" w:hAnsi="宋体"/>
          <w:sz w:val="28"/>
          <w:szCs w:val="28"/>
        </w:rPr>
      </w:pPr>
      <w:r>
        <w:drawing>
          <wp:inline distT="0" distB="0" distL="0" distR="0">
            <wp:extent cx="2131060" cy="1522095"/>
            <wp:effectExtent l="0" t="0" r="2540" b="1905"/>
            <wp:docPr id="8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0"/>
                    <pic:cNvPicPr>
                      <a:picLocks noChangeAspect="1"/>
                    </pic:cNvPicPr>
                  </pic:nvPicPr>
                  <pic:blipFill>
                    <a:blip r:embed="rId72" cstate="print"/>
                    <a:stretch>
                      <a:fillRect/>
                    </a:stretch>
                  </pic:blipFill>
                  <pic:spPr>
                    <a:xfrm>
                      <a:off x="0" y="0"/>
                      <a:ext cx="2131060" cy="1522095"/>
                    </a:xfrm>
                    <a:prstGeom prst="rect">
                      <a:avLst/>
                    </a:prstGeom>
                  </pic:spPr>
                </pic:pic>
              </a:graphicData>
            </a:graphic>
          </wp:inline>
        </w:drawing>
      </w:r>
    </w:p>
    <w:p>
      <w:pPr>
        <w:tabs>
          <w:tab w:val="left" w:pos="630"/>
        </w:tabs>
        <w:rPr>
          <w:rFonts w:ascii="宋体" w:hAnsi="宋体"/>
          <w:color w:val="000000"/>
          <w:sz w:val="28"/>
          <w:szCs w:val="28"/>
        </w:rPr>
      </w:pPr>
      <w:r>
        <w:rPr>
          <w:rFonts w:hint="eastAsia" w:ascii="宋体" w:hAnsi="宋体"/>
          <w:sz w:val="28"/>
          <w:szCs w:val="28"/>
        </w:rPr>
        <w:t>7</w:t>
      </w:r>
      <w:r>
        <w:rPr>
          <w:rFonts w:hint="eastAsia" w:ascii="宋体" w:hAnsi="宋体"/>
          <w:sz w:val="28"/>
          <w:szCs w:val="28"/>
          <w:lang w:eastAsia="zh-CN"/>
        </w:rPr>
        <w:t>、</w:t>
      </w:r>
      <w:r>
        <w:rPr>
          <w:rFonts w:hint="eastAsia" w:ascii="宋体" w:hAnsi="宋体"/>
          <w:sz w:val="28"/>
          <w:szCs w:val="28"/>
        </w:rPr>
        <w:t>完整的门1套</w:t>
      </w:r>
      <w:r>
        <w:rPr>
          <w:rFonts w:hint="eastAsia" w:ascii="宋体" w:hAnsi="宋体"/>
          <w:color w:val="000000"/>
          <w:sz w:val="28"/>
          <w:szCs w:val="28"/>
        </w:rPr>
        <w:t>,包含门锁， 尺寸 ≥6</w:t>
      </w:r>
      <w:r>
        <w:rPr>
          <w:rFonts w:ascii="宋体" w:hAnsi="宋体"/>
          <w:color w:val="000000"/>
          <w:sz w:val="28"/>
          <w:szCs w:val="28"/>
        </w:rPr>
        <w:t>00*400 (mm)</w:t>
      </w:r>
      <w:r>
        <w:rPr>
          <w:rFonts w:hint="eastAsia" w:ascii="宋体" w:hAnsi="宋体"/>
          <w:color w:val="000000"/>
          <w:sz w:val="28"/>
          <w:szCs w:val="28"/>
        </w:rPr>
        <w:t xml:space="preserve"> 数量1件；（样式如下图所示）</w:t>
      </w:r>
    </w:p>
    <w:p>
      <w:pPr>
        <w:tabs>
          <w:tab w:val="left" w:pos="1114"/>
        </w:tabs>
        <w:ind w:firstLine="1680" w:firstLineChars="600"/>
        <w:rPr>
          <w:rFonts w:ascii="宋体" w:hAnsi="宋体"/>
          <w:sz w:val="28"/>
          <w:szCs w:val="28"/>
        </w:rPr>
      </w:pPr>
      <w:r>
        <w:rPr>
          <w:rFonts w:hint="eastAsia" w:ascii="宋体" w:hAnsi="宋体"/>
          <w:sz w:val="28"/>
          <w:szCs w:val="28"/>
        </w:rPr>
        <w:t xml:space="preserve"> </w:t>
      </w:r>
      <w:r>
        <w:rPr>
          <w:rFonts w:ascii="宋体" w:hAnsi="宋体"/>
          <w:sz w:val="28"/>
          <w:szCs w:val="28"/>
        </w:rPr>
        <w:drawing>
          <wp:inline distT="0" distB="0" distL="0" distR="0">
            <wp:extent cx="2782570" cy="3041650"/>
            <wp:effectExtent l="0" t="0" r="17780" b="6350"/>
            <wp:docPr id="8" name="图片 3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0740"/>
                    <pic:cNvPicPr>
                      <a:picLocks noChangeAspect="1" noChangeArrowheads="1"/>
                    </pic:cNvPicPr>
                  </pic:nvPicPr>
                  <pic:blipFill>
                    <a:blip r:embed="rId73" cstate="print"/>
                    <a:srcRect/>
                    <a:stretch>
                      <a:fillRect/>
                    </a:stretch>
                  </pic:blipFill>
                  <pic:spPr>
                    <a:xfrm>
                      <a:off x="0" y="0"/>
                      <a:ext cx="2782570" cy="3041650"/>
                    </a:xfrm>
                    <a:prstGeom prst="rect">
                      <a:avLst/>
                    </a:prstGeom>
                    <a:noFill/>
                    <a:ln w="9525">
                      <a:noFill/>
                      <a:miter lim="800000"/>
                      <a:headEnd/>
                      <a:tailEnd/>
                    </a:ln>
                  </pic:spPr>
                </pic:pic>
              </a:graphicData>
            </a:graphic>
          </wp:inline>
        </w:drawing>
      </w:r>
    </w:p>
    <w:p>
      <w:pPr>
        <w:rPr>
          <w:lang w:val="zh-CN"/>
        </w:rPr>
      </w:pPr>
    </w:p>
    <w:p>
      <w:pPr>
        <w:autoSpaceDE w:val="0"/>
        <w:autoSpaceDN w:val="0"/>
        <w:spacing w:line="520" w:lineRule="exact"/>
        <w:ind w:firstLine="551" w:firstLineChars="196"/>
        <w:outlineLvl w:val="1"/>
        <w:rPr>
          <w:rFonts w:ascii="Times New Roman" w:hAnsi="Times New Roman" w:eastAsia="仿宋" w:cs="Times New Roman"/>
          <w:b/>
          <w:bCs/>
          <w:sz w:val="28"/>
          <w:szCs w:val="24"/>
          <w:lang w:val="zh-CN"/>
        </w:rPr>
      </w:pPr>
      <w:r>
        <w:rPr>
          <w:rFonts w:ascii="Times New Roman" w:hAnsi="Times New Roman" w:eastAsia="仿宋" w:cs="Times New Roman"/>
          <w:b/>
          <w:bCs/>
          <w:sz w:val="28"/>
          <w:szCs w:val="24"/>
          <w:lang w:val="zh-CN"/>
        </w:rPr>
        <w:t>二、服务要求</w:t>
      </w:r>
    </w:p>
    <w:p>
      <w:pPr>
        <w:autoSpaceDE w:val="0"/>
        <w:autoSpaceDN w:val="0"/>
        <w:spacing w:line="520" w:lineRule="exact"/>
        <w:ind w:firstLine="551" w:firstLineChars="196"/>
        <w:rPr>
          <w:rFonts w:ascii="Times New Roman" w:hAnsi="Times New Roman" w:eastAsia="仿宋" w:cs="Times New Roman"/>
          <w:b/>
          <w:bCs/>
          <w:sz w:val="28"/>
          <w:szCs w:val="24"/>
          <w:lang w:val="zh-CN"/>
        </w:rPr>
      </w:pPr>
      <w:r>
        <w:rPr>
          <w:rFonts w:ascii="Times New Roman" w:hAnsi="Times New Roman" w:eastAsia="仿宋" w:cs="Times New Roman"/>
          <w:b/>
          <w:bCs/>
          <w:sz w:val="28"/>
          <w:szCs w:val="24"/>
          <w:lang w:val="zh-CN"/>
        </w:rPr>
        <w:t>1.售后服务的责任主体及其职责</w:t>
      </w:r>
    </w:p>
    <w:p>
      <w:pPr>
        <w:autoSpaceDE w:val="0"/>
        <w:autoSpaceDN w:val="0"/>
        <w:spacing w:line="520" w:lineRule="exact"/>
        <w:ind w:firstLine="548" w:firstLineChars="196"/>
        <w:rPr>
          <w:rFonts w:ascii="Times New Roman" w:hAnsi="Times New Roman" w:eastAsia="仿宋" w:cs="Times New Roman"/>
          <w:bCs/>
          <w:sz w:val="28"/>
          <w:szCs w:val="24"/>
          <w:lang w:val="zh-CN"/>
        </w:rPr>
      </w:pPr>
      <w:r>
        <w:rPr>
          <w:rFonts w:ascii="Times New Roman" w:hAnsi="Times New Roman" w:eastAsia="仿宋" w:cs="Times New Roman"/>
          <w:bCs/>
          <w:sz w:val="28"/>
          <w:szCs w:val="24"/>
          <w:lang w:val="zh-CN"/>
        </w:rPr>
        <w:t>（1）成交供应商是本项目售后服务的责任主体。</w:t>
      </w:r>
    </w:p>
    <w:p>
      <w:pPr>
        <w:autoSpaceDE w:val="0"/>
        <w:autoSpaceDN w:val="0"/>
        <w:spacing w:line="520" w:lineRule="exact"/>
        <w:ind w:firstLine="548" w:firstLineChars="196"/>
        <w:rPr>
          <w:rFonts w:ascii="Times New Roman" w:hAnsi="Times New Roman" w:eastAsia="仿宋" w:cs="Times New Roman"/>
          <w:bCs/>
          <w:sz w:val="28"/>
          <w:szCs w:val="24"/>
          <w:lang w:val="zh-CN"/>
        </w:rPr>
      </w:pPr>
      <w:r>
        <w:rPr>
          <w:rFonts w:ascii="Times New Roman" w:hAnsi="Times New Roman" w:eastAsia="仿宋" w:cs="Times New Roman"/>
          <w:bCs/>
          <w:sz w:val="28"/>
          <w:szCs w:val="24"/>
          <w:lang w:val="zh-CN"/>
        </w:rPr>
        <w:t>（2）为本项目提供售后服务、为采购人执行原厂质保是其职责。</w:t>
      </w:r>
    </w:p>
    <w:p>
      <w:pPr>
        <w:autoSpaceDE w:val="0"/>
        <w:autoSpaceDN w:val="0"/>
        <w:spacing w:line="520" w:lineRule="exact"/>
        <w:ind w:firstLine="551" w:firstLineChars="196"/>
        <w:rPr>
          <w:rFonts w:ascii="Times New Roman" w:hAnsi="Times New Roman" w:eastAsia="仿宋" w:cs="Times New Roman"/>
          <w:b/>
          <w:bCs/>
          <w:sz w:val="28"/>
          <w:szCs w:val="24"/>
          <w:lang w:val="zh-CN"/>
        </w:rPr>
      </w:pPr>
      <w:r>
        <w:rPr>
          <w:rFonts w:ascii="Times New Roman" w:hAnsi="Times New Roman" w:eastAsia="仿宋" w:cs="Times New Roman"/>
          <w:b/>
          <w:bCs/>
          <w:sz w:val="28"/>
          <w:szCs w:val="24"/>
          <w:lang w:val="zh-CN"/>
        </w:rPr>
        <w:t>2.售后服务的形式和内容</w:t>
      </w:r>
    </w:p>
    <w:p>
      <w:pPr>
        <w:autoSpaceDE w:val="0"/>
        <w:autoSpaceDN w:val="0"/>
        <w:spacing w:line="520" w:lineRule="exact"/>
        <w:ind w:firstLine="548" w:firstLineChars="196"/>
        <w:rPr>
          <w:rFonts w:ascii="Times New Roman" w:hAnsi="Times New Roman" w:eastAsia="仿宋" w:cs="Times New Roman"/>
          <w:bCs/>
          <w:sz w:val="28"/>
          <w:szCs w:val="24"/>
          <w:lang w:val="zh-CN"/>
        </w:rPr>
      </w:pPr>
      <w:r>
        <w:rPr>
          <w:rFonts w:ascii="Times New Roman" w:hAnsi="Times New Roman" w:eastAsia="仿宋" w:cs="Times New Roman"/>
          <w:bCs/>
          <w:sz w:val="28"/>
          <w:szCs w:val="24"/>
          <w:lang w:val="zh-CN"/>
        </w:rPr>
        <w:t>（1）售后服务的形式包括但不限于：远程咨询、上门服务。</w:t>
      </w:r>
    </w:p>
    <w:p>
      <w:pPr>
        <w:autoSpaceDE w:val="0"/>
        <w:autoSpaceDN w:val="0"/>
        <w:spacing w:line="520" w:lineRule="exact"/>
        <w:ind w:firstLine="548" w:firstLineChars="196"/>
        <w:rPr>
          <w:rFonts w:ascii="Times New Roman" w:hAnsi="Times New Roman" w:eastAsia="仿宋" w:cs="Times New Roman"/>
          <w:bCs/>
          <w:sz w:val="28"/>
          <w:szCs w:val="24"/>
          <w:lang w:val="zh-CN"/>
        </w:rPr>
      </w:pPr>
      <w:r>
        <w:rPr>
          <w:rFonts w:ascii="Times New Roman" w:hAnsi="Times New Roman" w:eastAsia="仿宋" w:cs="Times New Roman"/>
          <w:bCs/>
          <w:sz w:val="28"/>
          <w:szCs w:val="24"/>
          <w:lang w:val="zh-CN"/>
        </w:rPr>
        <w:t>（2）售后服务的内容包括但不限于：巡检、维护、调优、维修、换新。</w:t>
      </w:r>
    </w:p>
    <w:p>
      <w:pPr>
        <w:autoSpaceDE w:val="0"/>
        <w:autoSpaceDN w:val="0"/>
        <w:spacing w:line="520" w:lineRule="exact"/>
        <w:ind w:firstLine="551" w:firstLineChars="196"/>
        <w:rPr>
          <w:rFonts w:ascii="Times New Roman" w:hAnsi="Times New Roman" w:eastAsia="仿宋" w:cs="Times New Roman"/>
          <w:b/>
          <w:bCs/>
          <w:sz w:val="28"/>
          <w:szCs w:val="24"/>
          <w:lang w:val="zh-CN"/>
        </w:rPr>
      </w:pPr>
      <w:r>
        <w:rPr>
          <w:rFonts w:ascii="Times New Roman" w:hAnsi="Times New Roman" w:eastAsia="仿宋" w:cs="Times New Roman"/>
          <w:b/>
          <w:bCs/>
          <w:sz w:val="28"/>
          <w:szCs w:val="24"/>
          <w:lang w:val="zh-CN"/>
        </w:rPr>
        <w:t>3.售后服务标准</w:t>
      </w:r>
    </w:p>
    <w:p>
      <w:pPr>
        <w:autoSpaceDE w:val="0"/>
        <w:autoSpaceDN w:val="0"/>
        <w:spacing w:line="520" w:lineRule="exact"/>
        <w:ind w:firstLine="548" w:firstLineChars="196"/>
        <w:rPr>
          <w:rFonts w:ascii="Times New Roman" w:hAnsi="Times New Roman" w:eastAsia="仿宋" w:cs="Times New Roman"/>
          <w:bCs/>
          <w:sz w:val="28"/>
          <w:szCs w:val="24"/>
          <w:lang w:val="zh-CN"/>
        </w:rPr>
      </w:pPr>
      <w:r>
        <w:rPr>
          <w:rFonts w:ascii="Times New Roman" w:hAnsi="Times New Roman" w:eastAsia="仿宋" w:cs="Times New Roman"/>
          <w:bCs/>
          <w:sz w:val="28"/>
          <w:szCs w:val="24"/>
          <w:lang w:val="zh-CN"/>
        </w:rPr>
        <w:t>（1）本项目的原厂质保期和售后服务期均为3年，自本项目最终验收合格之日起算。该期限内，原厂商或成交供应商提供的一切服务均为免费。</w:t>
      </w:r>
    </w:p>
    <w:p>
      <w:pPr>
        <w:autoSpaceDE w:val="0"/>
        <w:autoSpaceDN w:val="0"/>
        <w:spacing w:line="520" w:lineRule="exact"/>
        <w:ind w:firstLine="548" w:firstLineChars="196"/>
        <w:rPr>
          <w:rFonts w:ascii="Times New Roman" w:hAnsi="Times New Roman" w:eastAsia="仿宋" w:cs="Times New Roman"/>
          <w:bCs/>
          <w:sz w:val="28"/>
          <w:szCs w:val="24"/>
          <w:lang w:val="zh-CN"/>
        </w:rPr>
      </w:pPr>
      <w:r>
        <w:rPr>
          <w:rFonts w:ascii="Times New Roman" w:hAnsi="Times New Roman" w:eastAsia="仿宋" w:cs="Times New Roman"/>
          <w:bCs/>
          <w:sz w:val="28"/>
          <w:szCs w:val="24"/>
          <w:lang w:val="zh-CN"/>
        </w:rPr>
        <w:t>（2）成交供应商提供7*24小时售后服务，接到采购人的服务需求后应在30分钟内提出解决方案，需要到场的应在6小时内到达，并在24小时内排除故障。</w:t>
      </w:r>
    </w:p>
    <w:p>
      <w:pPr>
        <w:autoSpaceDE w:val="0"/>
        <w:autoSpaceDN w:val="0"/>
        <w:spacing w:line="520" w:lineRule="exact"/>
        <w:ind w:firstLine="548" w:firstLineChars="196"/>
        <w:rPr>
          <w:rFonts w:ascii="Times New Roman" w:hAnsi="Times New Roman" w:eastAsia="仿宋" w:cs="Times New Roman"/>
          <w:bCs/>
          <w:sz w:val="28"/>
          <w:szCs w:val="24"/>
          <w:lang w:val="zh-CN"/>
        </w:rPr>
      </w:pPr>
      <w:r>
        <w:rPr>
          <w:rFonts w:ascii="Times New Roman" w:hAnsi="Times New Roman" w:eastAsia="仿宋" w:cs="Times New Roman"/>
          <w:bCs/>
          <w:sz w:val="28"/>
          <w:szCs w:val="24"/>
          <w:lang w:val="zh-CN"/>
        </w:rPr>
        <w:t>（3）同一货物或部件经2次维修仍然无法达到正常使用性能的，成交供应商应予更换。</w:t>
      </w:r>
    </w:p>
    <w:p>
      <w:pPr>
        <w:autoSpaceDE w:val="0"/>
        <w:autoSpaceDN w:val="0"/>
        <w:spacing w:line="520" w:lineRule="exact"/>
        <w:ind w:firstLine="548" w:firstLineChars="196"/>
        <w:rPr>
          <w:rFonts w:ascii="Times New Roman" w:hAnsi="Times New Roman" w:eastAsia="仿宋" w:cs="Times New Roman"/>
          <w:bCs/>
          <w:sz w:val="28"/>
          <w:szCs w:val="24"/>
          <w:lang w:val="zh-CN"/>
        </w:rPr>
      </w:pPr>
    </w:p>
    <w:p>
      <w:pPr>
        <w:autoSpaceDE w:val="0"/>
        <w:autoSpaceDN w:val="0"/>
        <w:spacing w:line="520" w:lineRule="exact"/>
        <w:ind w:firstLine="562" w:firstLineChars="200"/>
        <w:outlineLvl w:val="1"/>
        <w:rPr>
          <w:rFonts w:ascii="Times New Roman" w:hAnsi="Times New Roman" w:eastAsia="仿宋" w:cs="Times New Roman"/>
          <w:sz w:val="28"/>
          <w:szCs w:val="24"/>
        </w:rPr>
      </w:pPr>
      <w:r>
        <w:rPr>
          <w:rFonts w:ascii="Times New Roman" w:hAnsi="Times New Roman" w:eastAsia="仿宋" w:cs="Times New Roman"/>
          <w:b/>
          <w:bCs/>
          <w:sz w:val="28"/>
          <w:szCs w:val="24"/>
          <w:lang w:val="zh-CN"/>
        </w:rPr>
        <w:t>三、其他要求</w:t>
      </w:r>
    </w:p>
    <w:bookmarkEnd w:id="15"/>
    <w:p>
      <w:pPr>
        <w:autoSpaceDE w:val="0"/>
        <w:autoSpaceDN w:val="0"/>
        <w:spacing w:line="520" w:lineRule="exact"/>
        <w:ind w:firstLine="562" w:firstLineChars="200"/>
        <w:outlineLvl w:val="2"/>
        <w:rPr>
          <w:rFonts w:ascii="Times New Roman" w:hAnsi="Times New Roman" w:eastAsia="仿宋" w:cs="Times New Roman"/>
          <w:b/>
          <w:sz w:val="28"/>
          <w:szCs w:val="24"/>
          <w:lang w:val="zh-CN"/>
        </w:rPr>
      </w:pPr>
      <w:r>
        <w:rPr>
          <w:rFonts w:ascii="Times New Roman" w:hAnsi="Times New Roman" w:eastAsia="仿宋" w:cs="Times New Roman"/>
          <w:b/>
          <w:sz w:val="28"/>
          <w:szCs w:val="24"/>
          <w:lang w:val="zh-CN"/>
        </w:rPr>
        <w:t>（一）其他商务要求</w:t>
      </w:r>
    </w:p>
    <w:tbl>
      <w:tblPr>
        <w:tblStyle w:val="16"/>
        <w:tblW w:w="91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582"/>
        <w:gridCol w:w="1276"/>
        <w:gridCol w:w="72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82" w:type="dxa"/>
            <w:vAlign w:val="center"/>
          </w:tcPr>
          <w:p>
            <w:pPr>
              <w:pStyle w:val="31"/>
              <w:spacing w:line="360" w:lineRule="auto"/>
              <w:jc w:val="center"/>
              <w:rPr>
                <w:rFonts w:ascii="Times New Roman" w:hAnsi="Times New Roman" w:eastAsia="仿宋" w:cs="Times New Roman"/>
                <w:b/>
                <w:lang w:val="zh-CN"/>
              </w:rPr>
            </w:pPr>
            <w:r>
              <w:rPr>
                <w:rFonts w:ascii="Times New Roman" w:hAnsi="Times New Roman" w:eastAsia="仿宋" w:cs="Times New Roman"/>
                <w:b/>
                <w:lang w:val="zh-CN"/>
              </w:rPr>
              <w:t>序号</w:t>
            </w:r>
          </w:p>
        </w:tc>
        <w:tc>
          <w:tcPr>
            <w:tcW w:w="1276" w:type="dxa"/>
            <w:vAlign w:val="center"/>
          </w:tcPr>
          <w:p>
            <w:pPr>
              <w:pStyle w:val="31"/>
              <w:spacing w:line="360" w:lineRule="auto"/>
              <w:jc w:val="center"/>
              <w:rPr>
                <w:rFonts w:ascii="Times New Roman" w:hAnsi="Times New Roman" w:eastAsia="仿宋" w:cs="Times New Roman"/>
                <w:b/>
                <w:lang w:val="zh-CN"/>
              </w:rPr>
            </w:pPr>
            <w:r>
              <w:rPr>
                <w:rFonts w:ascii="Times New Roman" w:hAnsi="Times New Roman" w:eastAsia="仿宋" w:cs="Times New Roman"/>
                <w:b/>
                <w:lang w:val="zh-CN"/>
              </w:rPr>
              <w:t>内容</w:t>
            </w:r>
          </w:p>
        </w:tc>
        <w:tc>
          <w:tcPr>
            <w:tcW w:w="7242" w:type="dxa"/>
            <w:vAlign w:val="center"/>
          </w:tcPr>
          <w:p>
            <w:pPr>
              <w:pStyle w:val="31"/>
              <w:spacing w:line="360" w:lineRule="auto"/>
              <w:ind w:left="210" w:leftChars="100"/>
              <w:jc w:val="center"/>
              <w:rPr>
                <w:rFonts w:ascii="Times New Roman" w:hAnsi="Times New Roman" w:eastAsia="仿宋" w:cs="Times New Roman"/>
                <w:b/>
                <w:lang w:val="zh-CN"/>
              </w:rPr>
            </w:pPr>
            <w:r>
              <w:rPr>
                <w:rFonts w:ascii="Times New Roman" w:hAnsi="Times New Roman" w:eastAsia="仿宋" w:cs="Times New Roman"/>
                <w:b/>
                <w:lang w:val="zh-CN"/>
              </w:rPr>
              <w:t>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82" w:type="dxa"/>
            <w:vAlign w:val="center"/>
          </w:tcPr>
          <w:p>
            <w:pPr>
              <w:pStyle w:val="31"/>
              <w:spacing w:line="360" w:lineRule="auto"/>
              <w:jc w:val="center"/>
              <w:rPr>
                <w:rFonts w:ascii="Times New Roman" w:hAnsi="Times New Roman" w:eastAsia="仿宋" w:cs="Times New Roman"/>
                <w:lang w:val="zh-CN"/>
              </w:rPr>
            </w:pPr>
            <w:r>
              <w:rPr>
                <w:rFonts w:ascii="Times New Roman" w:hAnsi="Times New Roman" w:eastAsia="仿宋" w:cs="Times New Roman"/>
                <w:lang w:val="zh-CN"/>
              </w:rPr>
              <w:t>1</w:t>
            </w:r>
          </w:p>
        </w:tc>
        <w:tc>
          <w:tcPr>
            <w:tcW w:w="1276" w:type="dxa"/>
            <w:vAlign w:val="center"/>
          </w:tcPr>
          <w:p>
            <w:pPr>
              <w:pStyle w:val="31"/>
              <w:spacing w:line="360" w:lineRule="auto"/>
              <w:jc w:val="center"/>
              <w:rPr>
                <w:rFonts w:ascii="Times New Roman" w:hAnsi="Times New Roman" w:eastAsia="仿宋" w:cs="Times New Roman"/>
                <w:lang w:val="zh-CN"/>
              </w:rPr>
            </w:pPr>
            <w:r>
              <w:rPr>
                <w:rFonts w:ascii="Times New Roman" w:hAnsi="Times New Roman" w:eastAsia="仿宋" w:cs="Times New Roman"/>
                <w:lang w:val="zh-CN"/>
              </w:rPr>
              <w:t>项目完成时间</w:t>
            </w:r>
          </w:p>
        </w:tc>
        <w:tc>
          <w:tcPr>
            <w:tcW w:w="7242" w:type="dxa"/>
            <w:vAlign w:val="center"/>
          </w:tcPr>
          <w:p>
            <w:pPr>
              <w:pStyle w:val="31"/>
              <w:spacing w:line="360" w:lineRule="auto"/>
              <w:ind w:left="210" w:leftChars="100"/>
              <w:jc w:val="both"/>
              <w:rPr>
                <w:rFonts w:ascii="Times New Roman" w:hAnsi="Times New Roman" w:eastAsia="仿宋" w:cs="Times New Roman"/>
                <w:lang w:val="zh-CN"/>
              </w:rPr>
            </w:pPr>
            <w:r>
              <w:rPr>
                <w:rFonts w:ascii="Times New Roman" w:hAnsi="Times New Roman" w:eastAsia="仿宋" w:cs="Times New Roman"/>
                <w:lang w:val="zh-CN"/>
              </w:rPr>
              <w:t>政府采购合同签订后3</w:t>
            </w:r>
            <w:r>
              <w:rPr>
                <w:rFonts w:hint="eastAsia" w:ascii="Times New Roman" w:hAnsi="Times New Roman" w:eastAsia="仿宋" w:cs="Times New Roman"/>
                <w:lang w:val="en-US" w:eastAsia="zh-CN"/>
              </w:rPr>
              <w:t>0</w:t>
            </w:r>
            <w:r>
              <w:rPr>
                <w:rFonts w:ascii="Times New Roman" w:hAnsi="Times New Roman" w:eastAsia="仿宋" w:cs="Times New Roman"/>
                <w:lang w:val="zh-CN"/>
              </w:rPr>
              <w:t>个工作日内，完成货物交付和安装、调试，交付采购人验收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82" w:type="dxa"/>
            <w:vAlign w:val="center"/>
          </w:tcPr>
          <w:p>
            <w:pPr>
              <w:pStyle w:val="31"/>
              <w:spacing w:line="360" w:lineRule="auto"/>
              <w:jc w:val="center"/>
              <w:rPr>
                <w:rFonts w:ascii="Times New Roman" w:hAnsi="Times New Roman" w:eastAsia="仿宋" w:cs="Times New Roman"/>
                <w:lang w:val="zh-CN"/>
              </w:rPr>
            </w:pPr>
            <w:r>
              <w:rPr>
                <w:rFonts w:ascii="Times New Roman" w:hAnsi="Times New Roman" w:eastAsia="仿宋" w:cs="Times New Roman"/>
                <w:lang w:val="zh-CN"/>
              </w:rPr>
              <w:t>2</w:t>
            </w:r>
          </w:p>
        </w:tc>
        <w:tc>
          <w:tcPr>
            <w:tcW w:w="1276" w:type="dxa"/>
            <w:vAlign w:val="center"/>
          </w:tcPr>
          <w:p>
            <w:pPr>
              <w:pStyle w:val="31"/>
              <w:spacing w:line="360" w:lineRule="auto"/>
              <w:jc w:val="center"/>
              <w:rPr>
                <w:rFonts w:ascii="Times New Roman" w:hAnsi="Times New Roman" w:eastAsia="仿宋" w:cs="Times New Roman"/>
                <w:lang w:val="zh-CN"/>
              </w:rPr>
            </w:pPr>
            <w:r>
              <w:rPr>
                <w:rFonts w:ascii="Times New Roman" w:hAnsi="Times New Roman" w:eastAsia="仿宋" w:cs="Times New Roman"/>
                <w:lang w:val="zh-CN"/>
              </w:rPr>
              <w:t>项目实施地点</w:t>
            </w:r>
          </w:p>
        </w:tc>
        <w:tc>
          <w:tcPr>
            <w:tcW w:w="7242" w:type="dxa"/>
            <w:vAlign w:val="center"/>
          </w:tcPr>
          <w:p>
            <w:pPr>
              <w:pStyle w:val="31"/>
              <w:spacing w:line="360" w:lineRule="auto"/>
              <w:ind w:left="210" w:leftChars="100"/>
              <w:jc w:val="both"/>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南江农科村镇银行指定地点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82" w:type="dxa"/>
            <w:vAlign w:val="center"/>
          </w:tcPr>
          <w:p>
            <w:pPr>
              <w:pStyle w:val="31"/>
              <w:spacing w:line="360" w:lineRule="auto"/>
              <w:jc w:val="center"/>
              <w:rPr>
                <w:rFonts w:ascii="Times New Roman" w:hAnsi="Times New Roman" w:eastAsia="仿宋" w:cs="Times New Roman"/>
                <w:lang w:val="zh-CN"/>
              </w:rPr>
            </w:pPr>
            <w:r>
              <w:rPr>
                <w:rFonts w:ascii="Times New Roman" w:hAnsi="Times New Roman" w:eastAsia="仿宋" w:cs="Times New Roman"/>
                <w:lang w:val="zh-CN"/>
              </w:rPr>
              <w:t>3</w:t>
            </w:r>
          </w:p>
        </w:tc>
        <w:tc>
          <w:tcPr>
            <w:tcW w:w="1276" w:type="dxa"/>
            <w:vAlign w:val="center"/>
          </w:tcPr>
          <w:p>
            <w:pPr>
              <w:pStyle w:val="31"/>
              <w:spacing w:line="360" w:lineRule="auto"/>
              <w:jc w:val="center"/>
              <w:rPr>
                <w:rFonts w:ascii="Times New Roman" w:hAnsi="Times New Roman" w:eastAsia="仿宋" w:cs="Times New Roman"/>
                <w:lang w:val="zh-CN"/>
              </w:rPr>
            </w:pPr>
            <w:r>
              <w:rPr>
                <w:rFonts w:ascii="Times New Roman" w:hAnsi="Times New Roman" w:eastAsia="仿宋" w:cs="Times New Roman"/>
                <w:lang w:val="zh-CN"/>
              </w:rPr>
              <w:t>合同价款支付</w:t>
            </w:r>
          </w:p>
        </w:tc>
        <w:tc>
          <w:tcPr>
            <w:tcW w:w="7242" w:type="dxa"/>
            <w:vAlign w:val="center"/>
          </w:tcPr>
          <w:p>
            <w:pPr>
              <w:pStyle w:val="31"/>
              <w:spacing w:line="360" w:lineRule="auto"/>
              <w:ind w:left="210" w:leftChars="100"/>
              <w:rPr>
                <w:rFonts w:ascii="Times New Roman" w:hAnsi="Times New Roman" w:eastAsia="仿宋" w:cs="Times New Roman"/>
                <w:lang w:val="zh-CN"/>
              </w:rPr>
            </w:pPr>
            <w:r>
              <w:rPr>
                <w:rFonts w:ascii="Times New Roman" w:hAnsi="Times New Roman" w:eastAsia="仿宋" w:cs="Times New Roman"/>
                <w:lang w:val="zh-CN"/>
              </w:rPr>
              <w:t>（1）政府采购合同签订后，支付合同总价款的20%；</w:t>
            </w:r>
          </w:p>
          <w:p>
            <w:pPr>
              <w:pStyle w:val="31"/>
              <w:spacing w:line="360" w:lineRule="auto"/>
              <w:ind w:left="210" w:leftChars="100"/>
              <w:rPr>
                <w:rFonts w:ascii="Times New Roman" w:hAnsi="Times New Roman" w:eastAsia="仿宋" w:cs="Times New Roman"/>
                <w:lang w:val="zh-CN"/>
              </w:rPr>
            </w:pPr>
            <w:r>
              <w:rPr>
                <w:rFonts w:ascii="Times New Roman" w:hAnsi="Times New Roman" w:eastAsia="仿宋" w:cs="Times New Roman"/>
                <w:lang w:val="zh-CN"/>
              </w:rPr>
              <w:t>（2）项目通过初步验收合格后，进入20日的试运行期，试运期无质量技术问题，由采购人在试运期届满之日起的7日内组织最终验收；</w:t>
            </w:r>
          </w:p>
          <w:p>
            <w:pPr>
              <w:pStyle w:val="31"/>
              <w:spacing w:line="360" w:lineRule="auto"/>
              <w:ind w:left="210" w:leftChars="100"/>
              <w:rPr>
                <w:rFonts w:ascii="Times New Roman" w:hAnsi="Times New Roman" w:eastAsia="仿宋" w:cs="Times New Roman"/>
                <w:lang w:val="zh-CN"/>
              </w:rPr>
            </w:pPr>
            <w:r>
              <w:rPr>
                <w:rFonts w:ascii="Times New Roman" w:hAnsi="Times New Roman" w:eastAsia="仿宋" w:cs="Times New Roman"/>
                <w:lang w:val="zh-CN"/>
              </w:rPr>
              <w:t>（3）项目最终验收合格后，支付合同总价款的75%；</w:t>
            </w:r>
          </w:p>
          <w:p>
            <w:pPr>
              <w:pStyle w:val="31"/>
              <w:spacing w:line="360" w:lineRule="auto"/>
              <w:ind w:left="210" w:leftChars="100"/>
              <w:rPr>
                <w:rFonts w:ascii="Times New Roman" w:hAnsi="Times New Roman" w:eastAsia="仿宋" w:cs="Times New Roman"/>
                <w:lang w:val="zh-CN"/>
              </w:rPr>
            </w:pPr>
            <w:r>
              <w:rPr>
                <w:rFonts w:ascii="Times New Roman" w:hAnsi="Times New Roman" w:eastAsia="仿宋" w:cs="Times New Roman"/>
                <w:lang w:val="zh-CN"/>
              </w:rPr>
              <w:t>（4）剩余5%转为质量保证金，1年后无息退还；</w:t>
            </w:r>
          </w:p>
          <w:p>
            <w:pPr>
              <w:pStyle w:val="31"/>
              <w:spacing w:line="360" w:lineRule="auto"/>
              <w:ind w:left="210" w:leftChars="100"/>
              <w:jc w:val="both"/>
              <w:rPr>
                <w:rFonts w:ascii="Times New Roman" w:hAnsi="Times New Roman" w:eastAsia="仿宋" w:cs="Times New Roman"/>
                <w:lang w:val="zh-CN"/>
              </w:rPr>
            </w:pPr>
            <w:r>
              <w:rPr>
                <w:rFonts w:ascii="Times New Roman" w:hAnsi="Times New Roman" w:eastAsia="仿宋" w:cs="Times New Roman"/>
                <w:lang w:val="zh-CN"/>
              </w:rPr>
              <w:t>（5）本项目未支付的合同价款不计利息</w:t>
            </w:r>
          </w:p>
        </w:tc>
      </w:tr>
    </w:tbl>
    <w:p>
      <w:pPr>
        <w:autoSpaceDE w:val="0"/>
        <w:autoSpaceDN w:val="0"/>
        <w:spacing w:line="520" w:lineRule="exact"/>
        <w:ind w:firstLine="562" w:firstLineChars="200"/>
        <w:rPr>
          <w:rFonts w:ascii="Times New Roman" w:hAnsi="Times New Roman" w:eastAsia="仿宋" w:cs="Times New Roman"/>
          <w:b/>
          <w:sz w:val="28"/>
          <w:szCs w:val="24"/>
          <w:lang w:val="zh-CN"/>
        </w:rPr>
      </w:pPr>
    </w:p>
    <w:p>
      <w:pPr>
        <w:autoSpaceDE w:val="0"/>
        <w:autoSpaceDN w:val="0"/>
        <w:spacing w:line="520" w:lineRule="exact"/>
        <w:ind w:firstLine="562" w:firstLineChars="200"/>
        <w:outlineLvl w:val="2"/>
        <w:rPr>
          <w:rFonts w:ascii="Times New Roman" w:hAnsi="Times New Roman" w:eastAsia="仿宋" w:cs="Times New Roman"/>
          <w:b/>
          <w:sz w:val="28"/>
          <w:szCs w:val="24"/>
          <w:lang w:val="zh-CN"/>
        </w:rPr>
      </w:pPr>
      <w:r>
        <w:rPr>
          <w:rFonts w:ascii="Times New Roman" w:hAnsi="Times New Roman" w:eastAsia="仿宋" w:cs="Times New Roman"/>
          <w:b/>
          <w:sz w:val="28"/>
          <w:szCs w:val="24"/>
          <w:lang w:val="zh-CN"/>
        </w:rPr>
        <w:t>（二）样品</w:t>
      </w:r>
    </w:p>
    <w:p>
      <w:pPr>
        <w:autoSpaceDE w:val="0"/>
        <w:autoSpaceDN w:val="0"/>
        <w:spacing w:line="520" w:lineRule="exact"/>
        <w:ind w:firstLine="560" w:firstLineChars="200"/>
        <w:rPr>
          <w:rFonts w:ascii="Times New Roman" w:hAnsi="Times New Roman" w:eastAsia="仿宋" w:cs="Times New Roman"/>
          <w:sz w:val="28"/>
          <w:szCs w:val="24"/>
          <w:lang w:val="zh-CN"/>
        </w:rPr>
      </w:pPr>
      <w:r>
        <w:rPr>
          <w:rFonts w:ascii="Times New Roman" w:hAnsi="Times New Roman" w:eastAsia="仿宋" w:cs="Times New Roman"/>
          <w:sz w:val="28"/>
          <w:szCs w:val="24"/>
          <w:lang w:val="zh-CN"/>
        </w:rPr>
        <w:t>1.样品提交</w:t>
      </w:r>
    </w:p>
    <w:p>
      <w:pPr>
        <w:autoSpaceDE w:val="0"/>
        <w:autoSpaceDN w:val="0"/>
        <w:spacing w:line="520" w:lineRule="exact"/>
        <w:ind w:firstLine="560" w:firstLineChars="200"/>
        <w:rPr>
          <w:rFonts w:ascii="Times New Roman" w:hAnsi="Times New Roman" w:eastAsia="仿宋" w:cs="Times New Roman"/>
          <w:sz w:val="28"/>
          <w:szCs w:val="24"/>
          <w:lang w:val="zh-CN"/>
        </w:rPr>
      </w:pPr>
      <w:r>
        <w:rPr>
          <w:rFonts w:ascii="Times New Roman" w:hAnsi="Times New Roman" w:eastAsia="仿宋" w:cs="Times New Roman"/>
          <w:sz w:val="28"/>
          <w:szCs w:val="24"/>
          <w:lang w:val="zh-CN"/>
        </w:rPr>
        <w:t>供应商提交投标文件时，</w:t>
      </w:r>
      <w:r>
        <w:rPr>
          <w:rFonts w:hint="eastAsia" w:ascii="Times New Roman" w:hAnsi="Times New Roman" w:eastAsia="仿宋" w:cs="Times New Roman"/>
          <w:sz w:val="28"/>
          <w:szCs w:val="24"/>
          <w:lang w:val="en-US" w:eastAsia="zh-CN"/>
        </w:rPr>
        <w:t>须</w:t>
      </w:r>
      <w:r>
        <w:rPr>
          <w:rFonts w:ascii="Times New Roman" w:hAnsi="Times New Roman" w:eastAsia="仿宋" w:cs="Times New Roman"/>
          <w:sz w:val="28"/>
          <w:szCs w:val="24"/>
          <w:lang w:val="zh-CN"/>
        </w:rPr>
        <w:t>提交“采购内容清单</w:t>
      </w:r>
      <w:r>
        <w:rPr>
          <w:rFonts w:hint="eastAsia" w:ascii="Times New Roman" w:hAnsi="Times New Roman" w:eastAsia="仿宋" w:cs="Times New Roman"/>
          <w:sz w:val="28"/>
          <w:szCs w:val="24"/>
          <w:lang w:val="en-US" w:eastAsia="zh-CN"/>
        </w:rPr>
        <w:t>及技术要求</w:t>
      </w:r>
      <w:r>
        <w:rPr>
          <w:rFonts w:ascii="Times New Roman" w:hAnsi="Times New Roman" w:eastAsia="仿宋" w:cs="Times New Roman"/>
          <w:sz w:val="28"/>
          <w:szCs w:val="24"/>
          <w:lang w:val="zh-CN"/>
        </w:rPr>
        <w:t>”表格中序号</w:t>
      </w:r>
      <w:r>
        <w:rPr>
          <w:rFonts w:hint="eastAsia" w:ascii="Times New Roman" w:hAnsi="Times New Roman" w:eastAsia="仿宋" w:cs="Times New Roman"/>
          <w:sz w:val="28"/>
          <w:szCs w:val="24"/>
          <w:lang w:val="en-US" w:eastAsia="zh-CN"/>
        </w:rPr>
        <w:t>14</w:t>
      </w:r>
      <w:r>
        <w:rPr>
          <w:rFonts w:ascii="Times New Roman" w:hAnsi="Times New Roman" w:eastAsia="仿宋" w:cs="Times New Roman"/>
          <w:sz w:val="28"/>
          <w:szCs w:val="24"/>
          <w:lang w:val="zh-CN"/>
        </w:rPr>
        <w:t>的</w:t>
      </w:r>
      <w:r>
        <w:rPr>
          <w:rFonts w:hint="eastAsia" w:ascii="Times New Roman" w:hAnsi="Times New Roman" w:eastAsia="仿宋" w:cs="Times New Roman"/>
          <w:sz w:val="28"/>
          <w:szCs w:val="24"/>
          <w:lang w:val="zh-CN"/>
        </w:rPr>
        <w:t>“</w:t>
      </w:r>
      <w:r>
        <w:rPr>
          <w:rFonts w:hint="eastAsia" w:ascii="Times New Roman" w:hAnsi="Times New Roman" w:eastAsia="仿宋" w:cs="Times New Roman"/>
          <w:sz w:val="28"/>
          <w:szCs w:val="24"/>
          <w:lang w:val="en-US" w:eastAsia="zh-CN"/>
        </w:rPr>
        <w:t>转椅</w:t>
      </w:r>
      <w:r>
        <w:rPr>
          <w:rFonts w:hint="eastAsia" w:ascii="Times New Roman" w:hAnsi="Times New Roman" w:eastAsia="仿宋" w:cs="Times New Roman"/>
          <w:sz w:val="28"/>
          <w:szCs w:val="24"/>
          <w:lang w:val="zh-CN"/>
        </w:rPr>
        <w:t>”</w:t>
      </w:r>
      <w:r>
        <w:rPr>
          <w:rFonts w:ascii="Times New Roman" w:hAnsi="Times New Roman" w:eastAsia="仿宋" w:cs="Times New Roman"/>
          <w:sz w:val="28"/>
          <w:szCs w:val="24"/>
          <w:lang w:val="zh-CN"/>
        </w:rPr>
        <w:t>、序号</w:t>
      </w:r>
      <w:r>
        <w:rPr>
          <w:rFonts w:hint="eastAsia" w:ascii="Times New Roman" w:hAnsi="Times New Roman" w:eastAsia="仿宋" w:cs="Times New Roman"/>
          <w:sz w:val="28"/>
          <w:szCs w:val="24"/>
          <w:lang w:val="en-US" w:eastAsia="zh-CN"/>
        </w:rPr>
        <w:t>30</w:t>
      </w:r>
      <w:r>
        <w:rPr>
          <w:rFonts w:ascii="Times New Roman" w:hAnsi="Times New Roman" w:eastAsia="仿宋" w:cs="Times New Roman"/>
          <w:sz w:val="28"/>
          <w:szCs w:val="24"/>
          <w:lang w:val="zh-CN"/>
        </w:rPr>
        <w:t>的</w:t>
      </w:r>
      <w:r>
        <w:rPr>
          <w:rFonts w:hint="eastAsia" w:ascii="Times New Roman" w:hAnsi="Times New Roman" w:eastAsia="仿宋" w:cs="Times New Roman"/>
          <w:sz w:val="28"/>
          <w:szCs w:val="24"/>
          <w:lang w:val="zh-CN"/>
        </w:rPr>
        <w:t>“</w:t>
      </w:r>
      <w:r>
        <w:rPr>
          <w:rFonts w:ascii="Times New Roman" w:hAnsi="Times New Roman" w:eastAsia="仿宋" w:cs="Times New Roman"/>
          <w:sz w:val="28"/>
          <w:szCs w:val="24"/>
          <w:lang w:val="zh-CN"/>
        </w:rPr>
        <w:t>条形会议桌</w:t>
      </w:r>
      <w:r>
        <w:rPr>
          <w:rFonts w:hint="eastAsia" w:ascii="Times New Roman" w:hAnsi="Times New Roman" w:eastAsia="仿宋" w:cs="Times New Roman"/>
          <w:sz w:val="28"/>
          <w:szCs w:val="24"/>
          <w:lang w:val="zh-CN"/>
        </w:rPr>
        <w:t>”</w:t>
      </w:r>
      <w:r>
        <w:rPr>
          <w:rFonts w:ascii="Times New Roman" w:hAnsi="Times New Roman" w:eastAsia="仿宋" w:cs="Times New Roman"/>
          <w:sz w:val="28"/>
          <w:szCs w:val="24"/>
          <w:lang w:val="zh-CN"/>
        </w:rPr>
        <w:t>实物样品各1件，以及序号</w:t>
      </w:r>
      <w:r>
        <w:rPr>
          <w:rFonts w:hint="eastAsia" w:ascii="Times New Roman" w:hAnsi="Times New Roman" w:eastAsia="仿宋" w:cs="Times New Roman"/>
          <w:sz w:val="28"/>
          <w:szCs w:val="24"/>
          <w:lang w:val="en-US" w:eastAsia="zh-CN"/>
        </w:rPr>
        <w:t>26</w:t>
      </w:r>
      <w:r>
        <w:rPr>
          <w:rFonts w:ascii="Times New Roman" w:hAnsi="Times New Roman" w:eastAsia="仿宋" w:cs="Times New Roman"/>
          <w:sz w:val="28"/>
          <w:szCs w:val="24"/>
          <w:lang w:val="zh-CN"/>
        </w:rPr>
        <w:t>的</w:t>
      </w:r>
      <w:r>
        <w:rPr>
          <w:rFonts w:hint="eastAsia" w:ascii="Times New Roman" w:hAnsi="Times New Roman" w:eastAsia="仿宋" w:cs="Times New Roman"/>
          <w:sz w:val="28"/>
          <w:szCs w:val="24"/>
          <w:lang w:val="zh-CN"/>
        </w:rPr>
        <w:t>“</w:t>
      </w:r>
      <w:r>
        <w:rPr>
          <w:rFonts w:hint="eastAsia" w:ascii="Times New Roman" w:hAnsi="Times New Roman" w:eastAsia="仿宋" w:cs="Times New Roman"/>
          <w:sz w:val="28"/>
          <w:szCs w:val="24"/>
          <w:lang w:val="en-US" w:eastAsia="zh-CN"/>
        </w:rPr>
        <w:t>手动无轨密集架4*11</w:t>
      </w:r>
      <w:r>
        <w:rPr>
          <w:rFonts w:hint="eastAsia" w:ascii="Times New Roman" w:hAnsi="Times New Roman" w:eastAsia="仿宋" w:cs="Times New Roman"/>
          <w:sz w:val="28"/>
          <w:szCs w:val="24"/>
          <w:lang w:val="zh-CN"/>
        </w:rPr>
        <w:t>”</w:t>
      </w:r>
      <w:r>
        <w:rPr>
          <w:rFonts w:ascii="Times New Roman" w:hAnsi="Times New Roman" w:eastAsia="仿宋" w:cs="Times New Roman"/>
          <w:sz w:val="28"/>
          <w:szCs w:val="24"/>
          <w:lang w:val="zh-CN"/>
        </w:rPr>
        <w:t>使用的</w:t>
      </w:r>
      <w:r>
        <w:rPr>
          <w:rFonts w:hint="eastAsia" w:ascii="Times New Roman" w:hAnsi="Times New Roman" w:eastAsia="仿宋" w:cs="Times New Roman"/>
          <w:sz w:val="28"/>
          <w:szCs w:val="24"/>
          <w:lang w:val="zh-CN"/>
        </w:rPr>
        <w:t>中列立柱</w:t>
      </w:r>
      <w:r>
        <w:rPr>
          <w:rFonts w:hint="eastAsia" w:ascii="Times New Roman" w:hAnsi="Times New Roman" w:eastAsia="仿宋" w:cs="Times New Roman"/>
          <w:sz w:val="28"/>
          <w:szCs w:val="24"/>
          <w:lang w:val="zh-CN" w:eastAsia="zh-CN"/>
        </w:rPr>
        <w:t>、</w:t>
      </w:r>
      <w:r>
        <w:rPr>
          <w:rFonts w:hint="eastAsia" w:ascii="Times New Roman" w:hAnsi="Times New Roman" w:eastAsia="仿宋" w:cs="Times New Roman"/>
          <w:sz w:val="28"/>
          <w:szCs w:val="24"/>
          <w:lang w:val="zh-CN"/>
        </w:rPr>
        <w:t>上层搁板</w:t>
      </w:r>
      <w:r>
        <w:rPr>
          <w:rFonts w:hint="eastAsia" w:ascii="Times New Roman" w:hAnsi="Times New Roman" w:eastAsia="仿宋" w:cs="Times New Roman"/>
          <w:sz w:val="28"/>
          <w:szCs w:val="24"/>
          <w:lang w:val="zh-CN" w:eastAsia="zh-CN"/>
        </w:rPr>
        <w:t>、</w:t>
      </w:r>
      <w:r>
        <w:rPr>
          <w:rFonts w:hint="eastAsia" w:ascii="Times New Roman" w:hAnsi="Times New Roman" w:eastAsia="仿宋" w:cs="Times New Roman"/>
          <w:sz w:val="28"/>
          <w:szCs w:val="24"/>
          <w:lang w:val="zh-CN"/>
        </w:rPr>
        <w:t>挂板</w:t>
      </w:r>
      <w:r>
        <w:rPr>
          <w:rFonts w:hint="eastAsia" w:ascii="Times New Roman" w:hAnsi="Times New Roman" w:eastAsia="仿宋" w:cs="Times New Roman"/>
          <w:sz w:val="28"/>
          <w:szCs w:val="24"/>
          <w:lang w:val="zh-CN" w:eastAsia="zh-CN"/>
        </w:rPr>
        <w:t>、</w:t>
      </w:r>
      <w:r>
        <w:rPr>
          <w:rFonts w:hint="eastAsia" w:ascii="Times New Roman" w:hAnsi="Times New Roman" w:eastAsia="仿宋" w:cs="Times New Roman"/>
          <w:sz w:val="28"/>
          <w:szCs w:val="24"/>
          <w:lang w:val="zh-CN"/>
        </w:rPr>
        <w:t>挡书条</w:t>
      </w:r>
      <w:r>
        <w:rPr>
          <w:rFonts w:hint="eastAsia" w:ascii="Times New Roman" w:hAnsi="Times New Roman" w:eastAsia="仿宋" w:cs="Times New Roman"/>
          <w:sz w:val="28"/>
          <w:szCs w:val="24"/>
          <w:lang w:val="zh-CN" w:eastAsia="zh-CN"/>
        </w:rPr>
        <w:t>、</w:t>
      </w:r>
      <w:r>
        <w:rPr>
          <w:rFonts w:hint="eastAsia" w:ascii="Times New Roman" w:hAnsi="Times New Roman" w:eastAsia="仿宋" w:cs="Times New Roman"/>
          <w:sz w:val="28"/>
          <w:szCs w:val="24"/>
          <w:lang w:val="zh-CN"/>
        </w:rPr>
        <w:t>导正系统</w:t>
      </w:r>
      <w:r>
        <w:rPr>
          <w:rFonts w:hint="eastAsia" w:ascii="Times New Roman" w:hAnsi="Times New Roman" w:eastAsia="仿宋" w:cs="Times New Roman"/>
          <w:sz w:val="28"/>
          <w:szCs w:val="24"/>
          <w:lang w:val="zh-CN" w:eastAsia="zh-CN"/>
        </w:rPr>
        <w:t>、</w:t>
      </w:r>
      <w:r>
        <w:rPr>
          <w:rFonts w:hint="eastAsia" w:ascii="Times New Roman" w:hAnsi="Times New Roman" w:eastAsia="仿宋" w:cs="Times New Roman"/>
          <w:sz w:val="28"/>
          <w:szCs w:val="24"/>
          <w:lang w:val="zh-CN"/>
        </w:rPr>
        <w:t>密封条和卡槽</w:t>
      </w:r>
      <w:r>
        <w:rPr>
          <w:rFonts w:hint="eastAsia" w:ascii="Times New Roman" w:hAnsi="Times New Roman" w:eastAsia="仿宋" w:cs="Times New Roman"/>
          <w:sz w:val="28"/>
          <w:szCs w:val="24"/>
          <w:lang w:val="zh-CN" w:eastAsia="zh-CN"/>
        </w:rPr>
        <w:t>、</w:t>
      </w:r>
      <w:r>
        <w:rPr>
          <w:rFonts w:hint="eastAsia" w:ascii="Times New Roman" w:hAnsi="Times New Roman" w:eastAsia="仿宋" w:cs="Times New Roman"/>
          <w:sz w:val="28"/>
          <w:szCs w:val="24"/>
          <w:lang w:val="zh-CN"/>
        </w:rPr>
        <w:t>门</w:t>
      </w:r>
      <w:r>
        <w:rPr>
          <w:rFonts w:ascii="Times New Roman" w:hAnsi="Times New Roman" w:eastAsia="仿宋" w:cs="Times New Roman"/>
          <w:sz w:val="28"/>
          <w:szCs w:val="24"/>
          <w:lang w:val="zh-CN"/>
        </w:rPr>
        <w:t>实物小样各1份，用于本项目的评标。投标截止时间后，招标采购单位不再接收投标人的样品。</w:t>
      </w:r>
    </w:p>
    <w:p>
      <w:pPr>
        <w:autoSpaceDE w:val="0"/>
        <w:autoSpaceDN w:val="0"/>
        <w:spacing w:line="520" w:lineRule="exact"/>
        <w:ind w:firstLine="560" w:firstLineChars="200"/>
        <w:rPr>
          <w:rFonts w:ascii="Times New Roman" w:hAnsi="Times New Roman" w:eastAsia="仿宋" w:cs="Times New Roman"/>
          <w:sz w:val="28"/>
          <w:szCs w:val="24"/>
          <w:lang w:val="zh-CN"/>
        </w:rPr>
      </w:pPr>
      <w:r>
        <w:rPr>
          <w:rFonts w:ascii="Times New Roman" w:hAnsi="Times New Roman" w:eastAsia="仿宋" w:cs="Times New Roman"/>
          <w:sz w:val="28"/>
          <w:szCs w:val="24"/>
          <w:lang w:val="zh-CN"/>
        </w:rPr>
        <w:t>投标人未提交样品或未足样提交样品的，其投标作无效处理。</w:t>
      </w:r>
    </w:p>
    <w:p>
      <w:pPr>
        <w:autoSpaceDE w:val="0"/>
        <w:autoSpaceDN w:val="0"/>
        <w:spacing w:line="520" w:lineRule="exact"/>
        <w:ind w:firstLine="560" w:firstLineChars="200"/>
        <w:rPr>
          <w:rFonts w:ascii="Times New Roman" w:hAnsi="Times New Roman" w:eastAsia="仿宋" w:cs="Times New Roman"/>
          <w:b/>
          <w:bCs/>
          <w:sz w:val="28"/>
          <w:szCs w:val="24"/>
          <w:lang w:val="zh-CN"/>
        </w:rPr>
      </w:pPr>
      <w:r>
        <w:rPr>
          <w:rFonts w:hint="eastAsia" w:ascii="Times New Roman" w:hAnsi="Times New Roman" w:eastAsia="仿宋" w:cs="Times New Roman"/>
          <w:sz w:val="28"/>
          <w:szCs w:val="24"/>
          <w:lang w:val="en-US" w:eastAsia="zh-CN"/>
        </w:rPr>
        <w:t>2</w:t>
      </w:r>
      <w:r>
        <w:rPr>
          <w:rFonts w:ascii="Times New Roman" w:hAnsi="Times New Roman" w:eastAsia="仿宋" w:cs="Times New Roman"/>
          <w:sz w:val="28"/>
          <w:szCs w:val="24"/>
          <w:lang w:val="zh-CN"/>
        </w:rPr>
        <w:t>.本项目提交的样品是本项目的验收依据。采购活动结束后，中标候选人的样品由对应投标人运送至采购人指定的地点，运送过程由采购人派出的监督代表监督。成交公告发出后，未成交的投标人自行至以上地点取回样品。</w:t>
      </w:r>
    </w:p>
    <w:p>
      <w:pPr>
        <w:autoSpaceDE w:val="0"/>
        <w:autoSpaceDN w:val="0"/>
        <w:spacing w:line="520" w:lineRule="exact"/>
        <w:ind w:firstLine="562" w:firstLineChars="200"/>
        <w:rPr>
          <w:rFonts w:ascii="Times New Roman" w:hAnsi="Times New Roman" w:eastAsia="仿宋" w:cs="Times New Roman"/>
          <w:b/>
          <w:bCs/>
          <w:sz w:val="28"/>
          <w:szCs w:val="24"/>
          <w:lang w:val="zh-CN"/>
        </w:rPr>
      </w:pPr>
    </w:p>
    <w:bookmarkEnd w:id="16"/>
    <w:bookmarkEnd w:id="17"/>
    <w:p>
      <w:pPr>
        <w:widowControl/>
        <w:jc w:val="left"/>
        <w:rPr>
          <w:rFonts w:ascii="Times New Roman" w:hAnsi="Times New Roman" w:eastAsia="黑体" w:cs="Times New Roman"/>
          <w:bCs/>
          <w:sz w:val="32"/>
          <w:szCs w:val="32"/>
        </w:rPr>
      </w:pPr>
      <w:r>
        <w:rPr>
          <w:rFonts w:ascii="Times New Roman" w:hAnsi="Times New Roman" w:eastAsia="黑体" w:cs="Times New Roman"/>
          <w:bCs/>
          <w:sz w:val="32"/>
          <w:szCs w:val="32"/>
        </w:rPr>
        <w:br w:type="page"/>
      </w:r>
    </w:p>
    <w:p>
      <w:pPr>
        <w:widowControl/>
        <w:jc w:val="center"/>
        <w:outlineLvl w:val="0"/>
        <w:rPr>
          <w:rFonts w:ascii="Times New Roman" w:hAnsi="Times New Roman" w:eastAsia="黑体" w:cs="Times New Roman"/>
          <w:bCs/>
          <w:sz w:val="36"/>
          <w:szCs w:val="32"/>
        </w:rPr>
      </w:pPr>
      <w:bookmarkStart w:id="18" w:name="_Toc20234163"/>
      <w:r>
        <w:rPr>
          <w:rFonts w:ascii="Times New Roman" w:hAnsi="Times New Roman" w:eastAsia="黑体" w:cs="Times New Roman"/>
          <w:bCs/>
          <w:sz w:val="36"/>
          <w:szCs w:val="32"/>
        </w:rPr>
        <w:t>第六章</w:t>
      </w:r>
      <w:r>
        <w:rPr>
          <w:rFonts w:ascii="Times New Roman" w:hAnsi="Times New Roman" w:eastAsia="黑体" w:cs="Times New Roman"/>
          <w:bCs/>
          <w:sz w:val="36"/>
          <w:szCs w:val="32"/>
        </w:rPr>
        <w:tab/>
      </w:r>
      <w:r>
        <w:rPr>
          <w:rFonts w:ascii="Times New Roman" w:hAnsi="Times New Roman" w:eastAsia="黑体" w:cs="Times New Roman"/>
          <w:bCs/>
          <w:sz w:val="36"/>
          <w:szCs w:val="32"/>
        </w:rPr>
        <w:t>评标办法</w:t>
      </w:r>
      <w:bookmarkEnd w:id="18"/>
    </w:p>
    <w:p>
      <w:pPr>
        <w:spacing w:line="520" w:lineRule="exact"/>
        <w:ind w:firstLine="562" w:firstLineChars="200"/>
        <w:rPr>
          <w:rFonts w:ascii="Times New Roman" w:hAnsi="Times New Roman" w:eastAsia="仿宋" w:cs="Times New Roman"/>
          <w:b/>
          <w:sz w:val="28"/>
          <w:szCs w:val="24"/>
        </w:rPr>
      </w:pPr>
    </w:p>
    <w:p>
      <w:pPr>
        <w:spacing w:line="520" w:lineRule="exact"/>
        <w:ind w:firstLine="562" w:firstLineChars="200"/>
        <w:rPr>
          <w:rFonts w:ascii="Times New Roman" w:hAnsi="Times New Roman" w:eastAsia="仿宋" w:cs="Times New Roman"/>
          <w:b/>
          <w:sz w:val="28"/>
          <w:szCs w:val="24"/>
        </w:rPr>
      </w:pPr>
      <w:r>
        <w:rPr>
          <w:rFonts w:ascii="Times New Roman" w:hAnsi="Times New Roman" w:eastAsia="仿宋" w:cs="Times New Roman"/>
          <w:b/>
          <w:sz w:val="28"/>
          <w:szCs w:val="24"/>
        </w:rPr>
        <w:t>一、总则</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（一）根据《中华人民共和国政府采购法》、《中华人民共和国政府采购法实施条例</w:t>
      </w:r>
      <w:r>
        <w:rPr>
          <w:rFonts w:ascii="Times New Roman" w:hAnsi="Times New Roman" w:eastAsia="仿宋" w:cs="Times New Roman"/>
          <w:sz w:val="28"/>
          <w:szCs w:val="28"/>
        </w:rPr>
        <w:t>》、《政府采购货物和服务招标投标管理办法》等法律、法规和规章，结合采购项目特点制定本评标办法。</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（二）评标工作由招标采购单位负责组织，具体评标事务由招标采购单位依法组建的评标委员会负责。评标委员会由采购人代表和有关技术、经济等方面的专家组成。评标过程独立、保密。</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（三）评标工作应遵循公平、公正、科学及择优的原则，并以相同的评标程序和标准对待所有的投标人。</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（四）评标委员会按照招标文件规定的评标方法和标准进行评标，并独立履行下列职责：</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1.审查、评价投标文件是否符合招标文件的商务、技术等实质性要求；</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2.要求投标人对投标文件有关事项作出澄清或者说明；</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3.对投标文件进行比较和评价；</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4.确定中标候选人名单，或者根据采购人的委托直接确定中标人；</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5.起草和签署评标报告；</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6.向招标采购单位或者有关部门报告评标中发现的违法行为；</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7.法律、法规和规章规定的其他职责。</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（五）评标过程中，评标委员会发现投标人存在违反公平竞争的原则、恶意串通、妨碍其他投标人的竞争行为或损害采购人、其他投标人合法权益的行为的，应当认定其投标无效，并书面报告本级财政部门。</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（六）评标委员会评价投标文件的响应性，除评标委员会要求其澄清、说明或者补正而提供的资料外，仅依据投标文件本身的内容，不寻求其他外部证据。</w:t>
      </w:r>
    </w:p>
    <w:p>
      <w:pPr>
        <w:spacing w:line="520" w:lineRule="exact"/>
        <w:ind w:firstLine="562" w:firstLineChars="200"/>
        <w:rPr>
          <w:rFonts w:ascii="Times New Roman" w:hAnsi="Times New Roman" w:eastAsia="仿宋" w:cs="Times New Roman"/>
          <w:b/>
          <w:sz w:val="28"/>
          <w:szCs w:val="24"/>
        </w:rPr>
      </w:pPr>
      <w:r>
        <w:rPr>
          <w:rFonts w:ascii="Times New Roman" w:hAnsi="Times New Roman" w:eastAsia="仿宋" w:cs="Times New Roman"/>
          <w:b/>
          <w:sz w:val="28"/>
          <w:szCs w:val="24"/>
        </w:rPr>
        <w:t>二、评标方法</w:t>
      </w:r>
    </w:p>
    <w:p>
      <w:pPr>
        <w:spacing w:line="520" w:lineRule="exact"/>
        <w:ind w:firstLine="562" w:firstLineChars="200"/>
        <w:rPr>
          <w:rFonts w:ascii="Times New Roman" w:hAnsi="Times New Roman" w:eastAsia="仿宋" w:cs="Times New Roman"/>
          <w:b/>
          <w:sz w:val="28"/>
          <w:szCs w:val="24"/>
        </w:rPr>
      </w:pPr>
      <w:r>
        <w:rPr>
          <w:rFonts w:ascii="Times New Roman" w:hAnsi="Times New Roman" w:eastAsia="仿宋" w:cs="Times New Roman"/>
          <w:b/>
          <w:sz w:val="28"/>
          <w:szCs w:val="24"/>
        </w:rPr>
        <w:t>（一）本项目评标方法为：综合评分法。</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综合评分法，是指投标文件满足招标文件全部实质性要求，且按照评审因素的量化指标评审得分最高的投标人为中标候选人的评标方法。</w:t>
      </w:r>
    </w:p>
    <w:p>
      <w:pPr>
        <w:spacing w:line="520" w:lineRule="exact"/>
        <w:ind w:firstLine="562" w:firstLineChars="200"/>
        <w:rPr>
          <w:rFonts w:ascii="Times New Roman" w:hAnsi="Times New Roman" w:eastAsia="仿宋" w:cs="Times New Roman"/>
          <w:b/>
          <w:sz w:val="28"/>
          <w:szCs w:val="24"/>
        </w:rPr>
      </w:pPr>
      <w:r>
        <w:rPr>
          <w:rFonts w:ascii="Times New Roman" w:hAnsi="Times New Roman" w:eastAsia="仿宋" w:cs="Times New Roman"/>
          <w:b/>
          <w:sz w:val="28"/>
          <w:szCs w:val="24"/>
        </w:rPr>
        <w:t>（二）落实政府采购政策进行价格扣除的方法</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1.中小微型企业参加非专门面向中小企业的项目，对小型或微型企业生产产品的价格给予10%的扣除，用扣除后的价格参与评审。</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2.对记入诚信档案（财政部门建立的）的且在有效期内的失信供应商，在本次采购活动中实行10%的报价加成的惩戒方法，以加成后报价参与评审。供应商失信行为惩戒可以实行无限制累加制（单利累加），因其失信行为进行报价加成惩戒后报价超过政府采购预算的，其投标文件按照无效处理。</w:t>
      </w:r>
    </w:p>
    <w:p>
      <w:pPr>
        <w:spacing w:line="520" w:lineRule="exact"/>
        <w:ind w:firstLine="562" w:firstLineChars="200"/>
        <w:rPr>
          <w:rFonts w:ascii="Times New Roman" w:hAnsi="Times New Roman" w:eastAsia="仿宋" w:cs="Times New Roman"/>
          <w:b/>
          <w:sz w:val="28"/>
          <w:szCs w:val="24"/>
        </w:rPr>
      </w:pPr>
      <w:r>
        <w:rPr>
          <w:rFonts w:ascii="Times New Roman" w:hAnsi="Times New Roman" w:eastAsia="仿宋" w:cs="Times New Roman"/>
          <w:b/>
          <w:sz w:val="28"/>
          <w:szCs w:val="24"/>
        </w:rPr>
        <w:t>三、评标程序</w:t>
      </w:r>
    </w:p>
    <w:p>
      <w:pPr>
        <w:spacing w:line="520" w:lineRule="exact"/>
        <w:ind w:firstLine="562" w:firstLineChars="200"/>
        <w:rPr>
          <w:rFonts w:ascii="Times New Roman" w:hAnsi="Times New Roman" w:eastAsia="仿宋" w:cs="Times New Roman"/>
          <w:b/>
          <w:sz w:val="28"/>
          <w:szCs w:val="24"/>
        </w:rPr>
      </w:pPr>
      <w:r>
        <w:rPr>
          <w:rFonts w:ascii="Times New Roman" w:hAnsi="Times New Roman" w:eastAsia="仿宋" w:cs="Times New Roman"/>
          <w:b/>
          <w:sz w:val="28"/>
          <w:szCs w:val="24"/>
        </w:rPr>
        <w:t>（一）符合性审查</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依据招标文件的规定，从投标文件的有效性、完整性和对招标文件的响应程度进行审查，以确定是否对招标文件的实质性要求作出响应。</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1.投标人投标文件属于下列情况之一的，在符合性检查时按照无效投标处理：</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（1）投标文件正副本数量不足的；</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（2）投标文件组成明显不符合招标文件的规定要求，影响评标委员会评判的；</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（3）投标文件的格式、语言、计量单位、报价货币、知识产权、投标有效期等不符合招标文件的规定，影响评标委员会评判的；</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（4）投标报价不符合招标文件规定的价格标底和其他报价规定的；</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（5）技术服务、商务应答内容没有完全响应招标文件的实质性要求的；</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（6）未载明或者载明的采购项目履约时间、方式、数量与招标文件要求不一致的；</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（7）附有采购人不能接受的条件或者不符合招标文件规定的其他实质性要求；</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（8）投标文件对非实质性要求的响应负偏离过大，评标委员会认为实质性影响项目实施的。</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2.投标文件（包括单独提交的开标一览表）有下列情形的，可以不作为符合性审查事项：</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（1）投标文件数量齐全，只是未按照招标文件要求进行分装或者统装的；</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（2）个别地方（不超过2个）没有法定代表人签字，但有法定代表人的私人印章或者有效授权代理人签字的；</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（3）除招标文件明确要求加盖单位（法人）公章的以外，其他地方以相关专用章加盖的；</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（4）以骑缝章的形式代替投标文件内容逐页盖章的（但是骑缝章模糊不清，印章名称无法辨认的除外）；</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（5）其他不影响采购项目实质性要求的情形。</w:t>
      </w:r>
    </w:p>
    <w:p>
      <w:pPr>
        <w:spacing w:line="520" w:lineRule="exact"/>
        <w:ind w:firstLine="562" w:firstLineChars="200"/>
        <w:rPr>
          <w:rFonts w:ascii="Times New Roman" w:hAnsi="Times New Roman" w:eastAsia="仿宋" w:cs="Times New Roman"/>
          <w:b/>
          <w:sz w:val="28"/>
          <w:szCs w:val="24"/>
        </w:rPr>
      </w:pPr>
      <w:r>
        <w:rPr>
          <w:rFonts w:ascii="Times New Roman" w:hAnsi="Times New Roman" w:eastAsia="仿宋" w:cs="Times New Roman"/>
          <w:b/>
          <w:sz w:val="28"/>
          <w:szCs w:val="24"/>
        </w:rPr>
        <w:t>（二）澄清有关问题</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1.对于投标文件中含义不明确、同类问题表述不一致、有明显文字和计算错误的内容、经计算投标人的报价属本文件投标人须知附表中“低于成本价”的情形，评标委员会应当以书面形式要求投标人作出必要的澄清、说明或者补正。</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2.本项目下列内容不得澄清：</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（1）按财政部规定应当在评标时不予承认的投标文件内容事项；</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（2）投标文件中已经明确的内容事项；</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（3）投标文件未提供的材料。</w:t>
      </w:r>
    </w:p>
    <w:p>
      <w:pPr>
        <w:spacing w:line="520" w:lineRule="exact"/>
        <w:ind w:firstLine="562" w:firstLineChars="200"/>
        <w:rPr>
          <w:rFonts w:ascii="Times New Roman" w:hAnsi="Times New Roman" w:eastAsia="仿宋" w:cs="Times New Roman"/>
          <w:b/>
          <w:sz w:val="28"/>
          <w:szCs w:val="24"/>
        </w:rPr>
      </w:pPr>
      <w:r>
        <w:rPr>
          <w:rFonts w:ascii="Times New Roman" w:hAnsi="Times New Roman" w:eastAsia="仿宋" w:cs="Times New Roman"/>
          <w:b/>
          <w:sz w:val="28"/>
          <w:szCs w:val="24"/>
        </w:rPr>
        <w:t>（三）比较与评价</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1.评标委员会应当按照招标文件中规定的评标方法和标准，对符合性审查合格的投标文件进行商务和技术评估，综合比较与评价。</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2.评标委员会成员应当根据自身专业情况对每个有效投标供应商的投标文件进行独立评分，加权汇总每项评审因素的得分，得出每个有效投标供应商的总分。技术类评审因素由技术方面评标委员会成员独立评分；经济类评审因素由经济方面评标委员会成员独立评分；政策合同类的评审因素由法律方面评标委员会成员独立评分；采购人代表原则上对技术类评审因素独立评分；价格和其他不能明确区分的评审因素由评标委员会成员共同评分。</w:t>
      </w:r>
    </w:p>
    <w:p>
      <w:pPr>
        <w:autoSpaceDE w:val="0"/>
        <w:autoSpaceDN w:val="0"/>
        <w:spacing w:line="520" w:lineRule="exact"/>
        <w:ind w:firstLine="560" w:firstLineChars="200"/>
        <w:outlineLvl w:val="2"/>
        <w:rPr>
          <w:rFonts w:ascii="Times New Roman" w:hAnsi="Times New Roman" w:eastAsia="仿宋" w:cs="Times New Roman"/>
          <w:sz w:val="28"/>
          <w:szCs w:val="24"/>
          <w:lang w:val="zh-CN"/>
        </w:rPr>
      </w:pPr>
      <w:bookmarkStart w:id="19" w:name="_Toc20234164"/>
      <w:r>
        <w:rPr>
          <w:rFonts w:ascii="Times New Roman" w:hAnsi="Times New Roman" w:eastAsia="仿宋" w:cs="Times New Roman"/>
          <w:sz w:val="28"/>
          <w:szCs w:val="24"/>
          <w:lang w:val="zh-CN"/>
        </w:rPr>
        <w:t>3.综合评分明细表</w:t>
      </w:r>
      <w:bookmarkEnd w:id="19"/>
    </w:p>
    <w:tbl>
      <w:tblPr>
        <w:tblStyle w:val="16"/>
        <w:tblW w:w="1015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75" w:type="dxa"/>
          <w:left w:w="75" w:type="dxa"/>
          <w:bottom w:w="75" w:type="dxa"/>
          <w:right w:w="75" w:type="dxa"/>
        </w:tblCellMar>
      </w:tblPr>
      <w:tblGrid>
        <w:gridCol w:w="1536"/>
        <w:gridCol w:w="701"/>
        <w:gridCol w:w="6015"/>
        <w:gridCol w:w="190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75" w:type="dxa"/>
            <w:left w:w="75" w:type="dxa"/>
            <w:bottom w:w="75" w:type="dxa"/>
            <w:right w:w="75" w:type="dxa"/>
          </w:tblCellMar>
        </w:tblPrEx>
        <w:trPr>
          <w:jc w:val="center"/>
        </w:trPr>
        <w:tc>
          <w:tcPr>
            <w:tcW w:w="1536" w:type="dxa"/>
            <w:shd w:val="clear" w:color="auto" w:fill="auto"/>
            <w:vAlign w:val="center"/>
          </w:tcPr>
          <w:p>
            <w:pPr>
              <w:spacing w:line="36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评审因素</w:t>
            </w:r>
          </w:p>
        </w:tc>
        <w:tc>
          <w:tcPr>
            <w:tcW w:w="701" w:type="dxa"/>
            <w:shd w:val="clear" w:color="auto" w:fill="auto"/>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分值</w:t>
            </w:r>
          </w:p>
        </w:tc>
        <w:tc>
          <w:tcPr>
            <w:tcW w:w="6015" w:type="dxa"/>
            <w:shd w:val="clear" w:color="auto" w:fill="auto"/>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评分标准</w:t>
            </w:r>
          </w:p>
        </w:tc>
        <w:tc>
          <w:tcPr>
            <w:tcW w:w="1907" w:type="dxa"/>
            <w:shd w:val="clear" w:color="auto" w:fill="auto"/>
            <w:vAlign w:val="center"/>
          </w:tcPr>
          <w:p>
            <w:pPr>
              <w:spacing w:line="36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75" w:type="dxa"/>
            <w:left w:w="75" w:type="dxa"/>
            <w:bottom w:w="75" w:type="dxa"/>
            <w:right w:w="75" w:type="dxa"/>
          </w:tblCellMar>
        </w:tblPrEx>
        <w:trPr>
          <w:jc w:val="center"/>
        </w:trPr>
        <w:tc>
          <w:tcPr>
            <w:tcW w:w="1536" w:type="dxa"/>
            <w:shd w:val="clear" w:color="auto" w:fill="auto"/>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投标报价</w:t>
            </w:r>
          </w:p>
        </w:tc>
        <w:tc>
          <w:tcPr>
            <w:tcW w:w="701" w:type="dxa"/>
            <w:shd w:val="clear" w:color="auto" w:fill="auto"/>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30</w:t>
            </w:r>
          </w:p>
        </w:tc>
        <w:tc>
          <w:tcPr>
            <w:tcW w:w="6015" w:type="dxa"/>
            <w:shd w:val="clear" w:color="auto" w:fill="auto"/>
            <w:vAlign w:val="center"/>
          </w:tcPr>
          <w:p>
            <w:pPr>
              <w:pStyle w:val="3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以满足招标文件要求且投标价格最低的投标报价为评标基准价，其价格分为满分；其他投标人的价格分统一按照下列公式计算：</w:t>
            </w:r>
          </w:p>
          <w:p>
            <w:pPr>
              <w:pStyle w:val="3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得分=(评标基准价／投标报价)×30</w:t>
            </w:r>
          </w:p>
        </w:tc>
        <w:tc>
          <w:tcPr>
            <w:tcW w:w="1907" w:type="dxa"/>
            <w:shd w:val="clear" w:color="auto" w:fill="auto"/>
            <w:vAlign w:val="center"/>
          </w:tcPr>
          <w:p>
            <w:pPr>
              <w:pStyle w:val="3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保留至小数点后2位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75" w:type="dxa"/>
            <w:left w:w="75" w:type="dxa"/>
            <w:bottom w:w="75" w:type="dxa"/>
            <w:right w:w="75" w:type="dxa"/>
          </w:tblCellMar>
        </w:tblPrEx>
        <w:trPr>
          <w:jc w:val="center"/>
        </w:trPr>
        <w:tc>
          <w:tcPr>
            <w:tcW w:w="1536" w:type="dxa"/>
            <w:vMerge w:val="restart"/>
            <w:tcBorders>
              <w:top w:val="single" w:color="auto" w:sz="4" w:space="0"/>
            </w:tcBorders>
            <w:shd w:val="clear" w:color="auto" w:fill="auto"/>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技术、服务响应情况</w:t>
            </w:r>
          </w:p>
          <w:p>
            <w:pPr>
              <w:pStyle w:val="2"/>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（技术类评审因素）</w:t>
            </w:r>
          </w:p>
        </w:tc>
        <w:tc>
          <w:tcPr>
            <w:tcW w:w="701" w:type="dxa"/>
            <w:tcBorders>
              <w:top w:val="single" w:color="auto" w:sz="4" w:space="0"/>
            </w:tcBorders>
            <w:shd w:val="clear" w:color="auto" w:fill="auto"/>
            <w:vAlign w:val="center"/>
          </w:tcPr>
          <w:p>
            <w:pPr>
              <w:spacing w:line="360" w:lineRule="auto"/>
              <w:jc w:val="center"/>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10</w:t>
            </w:r>
          </w:p>
        </w:tc>
        <w:tc>
          <w:tcPr>
            <w:tcW w:w="6015" w:type="dxa"/>
            <w:shd w:val="clear" w:color="auto" w:fill="auto"/>
            <w:vAlign w:val="center"/>
          </w:tcPr>
          <w:p>
            <w:pPr>
              <w:spacing w:line="360" w:lineRule="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完全满足招标文件技术服务要求的得</w:t>
            </w:r>
            <w:r>
              <w:rPr>
                <w:rFonts w:hint="eastAsia" w:ascii="仿宋" w:hAnsi="仿宋" w:eastAsia="仿宋" w:cs="仿宋"/>
                <w:color w:val="auto"/>
                <w:kern w:val="0"/>
                <w:sz w:val="24"/>
                <w:szCs w:val="24"/>
                <w:lang w:val="en-US" w:eastAsia="zh-CN"/>
              </w:rPr>
              <w:t>10</w:t>
            </w:r>
            <w:r>
              <w:rPr>
                <w:rFonts w:hint="eastAsia" w:ascii="仿宋" w:hAnsi="仿宋" w:eastAsia="仿宋" w:cs="仿宋"/>
                <w:color w:val="auto"/>
                <w:kern w:val="0"/>
                <w:sz w:val="24"/>
                <w:szCs w:val="24"/>
              </w:rPr>
              <w:t>分</w:t>
            </w:r>
            <w:r>
              <w:rPr>
                <w:rFonts w:hint="eastAsia" w:ascii="仿宋" w:hAnsi="仿宋" w:eastAsia="仿宋" w:cs="仿宋"/>
                <w:color w:val="auto"/>
                <w:kern w:val="0"/>
                <w:sz w:val="24"/>
                <w:szCs w:val="24"/>
                <w:lang w:eastAsia="zh-CN"/>
              </w:rPr>
              <w:t>，</w:t>
            </w:r>
            <w:r>
              <w:rPr>
                <w:rFonts w:hint="eastAsia" w:ascii="仿宋" w:hAnsi="仿宋" w:eastAsia="仿宋" w:cs="仿宋"/>
                <w:bCs/>
                <w:color w:val="auto"/>
                <w:sz w:val="24"/>
                <w:szCs w:val="24"/>
              </w:rPr>
              <w:t>每有1处非实质性负偏离的则少得1分，直至本项不得分</w:t>
            </w:r>
          </w:p>
        </w:tc>
        <w:tc>
          <w:tcPr>
            <w:tcW w:w="1907" w:type="dxa"/>
            <w:shd w:val="clear" w:color="auto" w:fill="auto"/>
            <w:vAlign w:val="center"/>
          </w:tcPr>
          <w:p>
            <w:pPr>
              <w:spacing w:line="360" w:lineRule="auto"/>
              <w:rPr>
                <w:rFonts w:hint="eastAsia" w:ascii="仿宋" w:hAnsi="仿宋" w:eastAsia="仿宋" w:cs="仿宋"/>
                <w:color w:val="auto"/>
                <w:kern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75" w:type="dxa"/>
            <w:left w:w="75" w:type="dxa"/>
            <w:bottom w:w="75" w:type="dxa"/>
            <w:right w:w="75" w:type="dxa"/>
          </w:tblCellMar>
        </w:tblPrEx>
        <w:trPr>
          <w:jc w:val="center"/>
        </w:trPr>
        <w:tc>
          <w:tcPr>
            <w:tcW w:w="1536" w:type="dxa"/>
            <w:vMerge w:val="continue"/>
            <w:shd w:val="clear" w:color="auto" w:fill="auto"/>
            <w:vAlign w:val="center"/>
          </w:tcPr>
          <w:p>
            <w:pPr>
              <w:pStyle w:val="2"/>
              <w:spacing w:line="360" w:lineRule="auto"/>
              <w:rPr>
                <w:rFonts w:hint="eastAsia" w:ascii="仿宋" w:hAnsi="仿宋" w:eastAsia="仿宋" w:cs="仿宋"/>
                <w:color w:val="auto"/>
                <w:sz w:val="24"/>
                <w:szCs w:val="24"/>
              </w:rPr>
            </w:pPr>
          </w:p>
        </w:tc>
        <w:tc>
          <w:tcPr>
            <w:tcW w:w="701" w:type="dxa"/>
            <w:tcBorders>
              <w:top w:val="single" w:color="auto" w:sz="4" w:space="0"/>
            </w:tcBorders>
            <w:shd w:val="clear" w:color="auto" w:fill="auto"/>
            <w:vAlign w:val="center"/>
          </w:tcPr>
          <w:p>
            <w:pPr>
              <w:spacing w:line="360" w:lineRule="auto"/>
              <w:jc w:val="center"/>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8</w:t>
            </w:r>
          </w:p>
        </w:tc>
        <w:tc>
          <w:tcPr>
            <w:tcW w:w="6015" w:type="dxa"/>
            <w:shd w:val="clear" w:color="auto" w:fill="auto"/>
            <w:vAlign w:val="center"/>
          </w:tcPr>
          <w:p>
            <w:pPr>
              <w:spacing w:line="360" w:lineRule="auto"/>
              <w:rPr>
                <w:rFonts w:ascii="Times New Roman" w:hAnsi="Times New Roman" w:eastAsia="仿宋" w:cs="Times New Roman"/>
                <w:bCs/>
                <w:sz w:val="24"/>
              </w:rPr>
            </w:pPr>
            <w:r>
              <w:rPr>
                <w:rFonts w:hint="eastAsia" w:ascii="Times New Roman" w:hAnsi="Times New Roman" w:eastAsia="仿宋" w:cs="Times New Roman"/>
                <w:bCs/>
                <w:sz w:val="24"/>
              </w:rPr>
              <w:t>投标人按照招标文件要求足样提供了样品的，本项最多得</w:t>
            </w:r>
            <w:r>
              <w:rPr>
                <w:rFonts w:hint="eastAsia" w:ascii="Times New Roman" w:hAnsi="Times New Roman" w:eastAsia="仿宋" w:cs="Times New Roman"/>
                <w:bCs/>
                <w:sz w:val="24"/>
                <w:lang w:val="en-US" w:eastAsia="zh-CN"/>
              </w:rPr>
              <w:t>8</w:t>
            </w:r>
            <w:r>
              <w:rPr>
                <w:rFonts w:hint="eastAsia" w:ascii="Times New Roman" w:hAnsi="Times New Roman" w:eastAsia="仿宋" w:cs="Times New Roman"/>
                <w:bCs/>
                <w:sz w:val="24"/>
              </w:rPr>
              <w:t>分；评标委员会现场查看样品，进行评分：</w:t>
            </w:r>
          </w:p>
          <w:p>
            <w:pPr>
              <w:spacing w:line="360" w:lineRule="auto"/>
              <w:rPr>
                <w:rFonts w:hint="default" w:ascii="仿宋" w:hAnsi="仿宋" w:eastAsia="仿宋" w:cs="仿宋"/>
                <w:color w:val="auto"/>
                <w:kern w:val="0"/>
                <w:sz w:val="24"/>
                <w:szCs w:val="24"/>
                <w:lang w:val="en-US" w:eastAsia="zh-CN"/>
              </w:rPr>
            </w:pPr>
            <w:r>
              <w:rPr>
                <w:rFonts w:ascii="Times New Roman" w:hAnsi="Times New Roman" w:eastAsia="仿宋" w:cs="Times New Roman"/>
                <w:bCs/>
                <w:sz w:val="24"/>
              </w:rPr>
              <w:t>（1）无毛刺、（2）无锐棱、（3）无飞溅、（4）无裂纹、（5）涂层无漏喷、（6）无锈蚀、（7）无脱色、（8）无异味</w:t>
            </w:r>
            <w:r>
              <w:rPr>
                <w:rFonts w:hint="eastAsia" w:ascii="Times New Roman" w:hAnsi="Times New Roman" w:eastAsia="仿宋" w:cs="Times New Roman"/>
                <w:bCs/>
                <w:sz w:val="24"/>
              </w:rPr>
              <w:t>；每有1处不符合前述要求的少得1分，直至本项不得分</w:t>
            </w:r>
            <w:r>
              <w:rPr>
                <w:rFonts w:hint="eastAsia" w:ascii="Times New Roman" w:hAnsi="Times New Roman" w:eastAsia="仿宋" w:cs="Times New Roman"/>
                <w:bCs/>
                <w:sz w:val="24"/>
                <w:lang w:eastAsia="zh-CN"/>
              </w:rPr>
              <w:t>，</w:t>
            </w:r>
            <w:r>
              <w:rPr>
                <w:rFonts w:hint="eastAsia" w:ascii="Times New Roman" w:hAnsi="Times New Roman" w:eastAsia="仿宋" w:cs="Times New Roman"/>
                <w:bCs/>
                <w:sz w:val="24"/>
                <w:lang w:val="en-US" w:eastAsia="zh-CN"/>
              </w:rPr>
              <w:t>提供的样品不符合参数要求的不得分</w:t>
            </w:r>
          </w:p>
        </w:tc>
        <w:tc>
          <w:tcPr>
            <w:tcW w:w="1907" w:type="dxa"/>
            <w:shd w:val="clear" w:color="auto" w:fill="auto"/>
            <w:vAlign w:val="center"/>
          </w:tcPr>
          <w:p>
            <w:pPr>
              <w:spacing w:line="360" w:lineRule="auto"/>
              <w:rPr>
                <w:rFonts w:hint="eastAsia" w:ascii="仿宋" w:hAnsi="仿宋" w:eastAsia="仿宋" w:cs="仿宋"/>
                <w:color w:val="auto"/>
                <w:kern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75" w:type="dxa"/>
            <w:left w:w="75" w:type="dxa"/>
            <w:bottom w:w="75" w:type="dxa"/>
            <w:right w:w="75" w:type="dxa"/>
          </w:tblCellMar>
        </w:tblPrEx>
        <w:trPr>
          <w:jc w:val="center"/>
        </w:trPr>
        <w:tc>
          <w:tcPr>
            <w:tcW w:w="1536" w:type="dxa"/>
            <w:vMerge w:val="continue"/>
            <w:shd w:val="clear" w:color="auto" w:fill="auto"/>
            <w:vAlign w:val="center"/>
          </w:tcPr>
          <w:p>
            <w:pPr>
              <w:spacing w:line="360" w:lineRule="auto"/>
              <w:jc w:val="center"/>
              <w:rPr>
                <w:rFonts w:hint="eastAsia" w:ascii="仿宋" w:hAnsi="仿宋" w:eastAsia="仿宋" w:cs="仿宋"/>
                <w:color w:val="auto"/>
                <w:sz w:val="24"/>
                <w:szCs w:val="24"/>
              </w:rPr>
            </w:pPr>
          </w:p>
        </w:tc>
        <w:tc>
          <w:tcPr>
            <w:tcW w:w="701" w:type="dxa"/>
            <w:shd w:val="clear" w:color="auto" w:fill="auto"/>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6015" w:type="dxa"/>
            <w:shd w:val="clear" w:color="auto" w:fill="auto"/>
            <w:vAlign w:val="center"/>
          </w:tcPr>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拟应用于本项目的五金配件</w:t>
            </w:r>
            <w:r>
              <w:rPr>
                <w:rFonts w:hint="eastAsia" w:ascii="仿宋" w:hAnsi="仿宋" w:eastAsia="仿宋" w:cs="仿宋"/>
                <w:color w:val="auto"/>
                <w:sz w:val="24"/>
                <w:szCs w:val="24"/>
                <w:lang w:val="en-US" w:eastAsia="zh-CN"/>
              </w:rPr>
              <w:t>具有</w:t>
            </w:r>
            <w:r>
              <w:rPr>
                <w:rFonts w:hint="eastAsia" w:ascii="仿宋" w:hAnsi="仿宋" w:eastAsia="仿宋" w:cs="仿宋"/>
                <w:color w:val="auto"/>
                <w:sz w:val="24"/>
                <w:szCs w:val="24"/>
              </w:rPr>
              <w:t>由三方机构出具的检验或检测报告，4类产品（拉手，铰链，导轨，三合一连接件）中，满足中性盐雾试验连续喷雾达到100小时或以上，且耐腐蚀等级达到10级的，每有1类得1分，本项最多得4分</w:t>
            </w:r>
          </w:p>
        </w:tc>
        <w:tc>
          <w:tcPr>
            <w:tcW w:w="1907" w:type="dxa"/>
            <w:shd w:val="clear" w:color="auto" w:fill="auto"/>
            <w:vAlign w:val="center"/>
          </w:tcPr>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投标人需在投标文件中提供有关证明材料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75" w:type="dxa"/>
            <w:left w:w="75" w:type="dxa"/>
            <w:bottom w:w="75" w:type="dxa"/>
            <w:right w:w="75" w:type="dxa"/>
          </w:tblCellMar>
        </w:tblPrEx>
        <w:trPr>
          <w:jc w:val="center"/>
        </w:trPr>
        <w:tc>
          <w:tcPr>
            <w:tcW w:w="1536" w:type="dxa"/>
            <w:vMerge w:val="continue"/>
            <w:shd w:val="clear" w:color="auto" w:fill="auto"/>
            <w:vAlign w:val="center"/>
          </w:tcPr>
          <w:p>
            <w:pPr>
              <w:spacing w:line="360" w:lineRule="auto"/>
              <w:jc w:val="center"/>
              <w:rPr>
                <w:rFonts w:hint="eastAsia" w:ascii="仿宋" w:hAnsi="仿宋" w:eastAsia="仿宋" w:cs="仿宋"/>
                <w:color w:val="auto"/>
                <w:sz w:val="24"/>
                <w:szCs w:val="24"/>
              </w:rPr>
            </w:pPr>
          </w:p>
        </w:tc>
        <w:tc>
          <w:tcPr>
            <w:tcW w:w="701" w:type="dxa"/>
            <w:shd w:val="clear" w:color="auto" w:fill="auto"/>
            <w:vAlign w:val="center"/>
          </w:tcPr>
          <w:p>
            <w:pPr>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6015" w:type="dxa"/>
            <w:shd w:val="clear" w:color="auto" w:fill="auto"/>
            <w:vAlign w:val="center"/>
          </w:tcPr>
          <w:p>
            <w:pPr>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拟应用于本项目的</w:t>
            </w:r>
            <w:r>
              <w:rPr>
                <w:rFonts w:hint="eastAsia" w:ascii="仿宋" w:hAnsi="仿宋" w:eastAsia="仿宋" w:cs="仿宋"/>
                <w:color w:val="auto"/>
                <w:sz w:val="24"/>
                <w:szCs w:val="24"/>
                <w:lang w:val="en-US" w:eastAsia="zh-CN"/>
              </w:rPr>
              <w:t>产品</w:t>
            </w:r>
            <w:r>
              <w:rPr>
                <w:rFonts w:hint="eastAsia" w:ascii="仿宋" w:hAnsi="仿宋" w:eastAsia="仿宋" w:cs="仿宋"/>
                <w:color w:val="auto"/>
                <w:sz w:val="24"/>
                <w:szCs w:val="24"/>
              </w:rPr>
              <w:t>具有由三方机构出具的检验或检测报告，包括但不限于：</w:t>
            </w:r>
            <w:r>
              <w:rPr>
                <w:rFonts w:hint="eastAsia" w:ascii="仿宋" w:hAnsi="仿宋" w:eastAsia="仿宋" w:cs="仿宋"/>
                <w:color w:val="auto"/>
                <w:sz w:val="24"/>
                <w:szCs w:val="24"/>
                <w:lang w:val="en-US" w:eastAsia="zh-CN"/>
              </w:rPr>
              <w:t>办公桌、沙发、钢制文件柜、会议桌、会议椅、餐桌、餐椅、实木床；</w:t>
            </w:r>
          </w:p>
          <w:p>
            <w:pPr>
              <w:pStyle w:val="2"/>
              <w:spacing w:line="360" w:lineRule="auto"/>
              <w:rPr>
                <w:rFonts w:hint="eastAsia" w:ascii="仿宋" w:hAnsi="仿宋" w:eastAsia="仿宋" w:cs="仿宋"/>
                <w:color w:val="auto"/>
                <w:sz w:val="24"/>
                <w:szCs w:val="24"/>
                <w:lang w:val="en-US" w:eastAsia="zh-CN"/>
              </w:rPr>
            </w:pPr>
            <w:r>
              <w:rPr>
                <w:rFonts w:hint="eastAsia" w:ascii="仿宋" w:hAnsi="仿宋" w:eastAsia="仿宋" w:cs="仿宋"/>
                <w:bCs/>
                <w:color w:val="auto"/>
                <w:sz w:val="24"/>
                <w:szCs w:val="24"/>
              </w:rPr>
              <w:t>以上内容每有1个单项的得</w:t>
            </w:r>
            <w:r>
              <w:rPr>
                <w:rFonts w:hint="eastAsia" w:ascii="仿宋" w:hAnsi="仿宋" w:eastAsia="仿宋" w:cs="仿宋"/>
                <w:bCs/>
                <w:color w:val="auto"/>
                <w:sz w:val="24"/>
                <w:szCs w:val="24"/>
                <w:lang w:val="en-US" w:eastAsia="zh-CN"/>
              </w:rPr>
              <w:t>0.5</w:t>
            </w:r>
            <w:r>
              <w:rPr>
                <w:rFonts w:hint="eastAsia" w:ascii="仿宋" w:hAnsi="仿宋" w:eastAsia="仿宋" w:cs="仿宋"/>
                <w:bCs/>
                <w:color w:val="auto"/>
                <w:sz w:val="24"/>
                <w:szCs w:val="24"/>
              </w:rPr>
              <w:t xml:space="preserve">分，本项最多得 </w:t>
            </w:r>
            <w:r>
              <w:rPr>
                <w:rFonts w:hint="eastAsia" w:ascii="仿宋" w:hAnsi="仿宋" w:eastAsia="仿宋" w:cs="仿宋"/>
                <w:bCs/>
                <w:color w:val="auto"/>
                <w:sz w:val="24"/>
                <w:szCs w:val="24"/>
                <w:lang w:val="en-US" w:eastAsia="zh-CN"/>
              </w:rPr>
              <w:t>4</w:t>
            </w:r>
            <w:r>
              <w:rPr>
                <w:rFonts w:hint="eastAsia" w:ascii="仿宋" w:hAnsi="仿宋" w:eastAsia="仿宋" w:cs="仿宋"/>
                <w:bCs/>
                <w:color w:val="auto"/>
                <w:sz w:val="24"/>
                <w:szCs w:val="24"/>
              </w:rPr>
              <w:t>分</w:t>
            </w:r>
          </w:p>
        </w:tc>
        <w:tc>
          <w:tcPr>
            <w:tcW w:w="1907" w:type="dxa"/>
            <w:shd w:val="clear" w:color="auto" w:fill="auto"/>
            <w:vAlign w:val="center"/>
          </w:tcPr>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投标人需在投标文件中提供有关证明材料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75" w:type="dxa"/>
            <w:left w:w="75" w:type="dxa"/>
            <w:bottom w:w="75" w:type="dxa"/>
            <w:right w:w="75" w:type="dxa"/>
          </w:tblCellMar>
        </w:tblPrEx>
        <w:trPr>
          <w:jc w:val="center"/>
        </w:trPr>
        <w:tc>
          <w:tcPr>
            <w:tcW w:w="1536" w:type="dxa"/>
            <w:vMerge w:val="continue"/>
            <w:shd w:val="clear" w:color="auto" w:fill="auto"/>
            <w:vAlign w:val="center"/>
          </w:tcPr>
          <w:p>
            <w:pPr>
              <w:spacing w:line="360" w:lineRule="auto"/>
              <w:jc w:val="center"/>
              <w:rPr>
                <w:rFonts w:hint="eastAsia" w:ascii="仿宋" w:hAnsi="仿宋" w:eastAsia="仿宋" w:cs="仿宋"/>
                <w:color w:val="auto"/>
                <w:sz w:val="24"/>
                <w:szCs w:val="24"/>
              </w:rPr>
            </w:pPr>
          </w:p>
        </w:tc>
        <w:tc>
          <w:tcPr>
            <w:tcW w:w="701" w:type="dxa"/>
            <w:shd w:val="clear" w:color="auto" w:fill="auto"/>
            <w:vAlign w:val="center"/>
          </w:tcPr>
          <w:p>
            <w:pPr>
              <w:spacing w:line="36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6015" w:type="dxa"/>
            <w:shd w:val="clear" w:color="auto" w:fill="auto"/>
            <w:vAlign w:val="center"/>
          </w:tcPr>
          <w:p>
            <w:pPr>
              <w:pStyle w:val="2"/>
              <w:spacing w:line="360" w:lineRule="auto"/>
              <w:rPr>
                <w:rFonts w:hint="default"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投标人或</w:t>
            </w:r>
            <w:r>
              <w:rPr>
                <w:rFonts w:hint="eastAsia" w:ascii="仿宋" w:hAnsi="仿宋" w:eastAsia="仿宋" w:cs="仿宋"/>
                <w:color w:val="auto"/>
                <w:sz w:val="24"/>
                <w:szCs w:val="24"/>
                <w:lang w:val="en-US" w:eastAsia="zh-CN"/>
              </w:rPr>
              <w:t>投标产品的生产厂家具有</w:t>
            </w:r>
            <w:r>
              <w:rPr>
                <w:rFonts w:hint="eastAsia" w:ascii="仿宋" w:hAnsi="仿宋" w:eastAsia="仿宋" w:cs="仿宋"/>
                <w:bCs/>
                <w:color w:val="auto"/>
                <w:sz w:val="24"/>
                <w:szCs w:val="24"/>
                <w:lang w:val="en-US" w:eastAsia="zh-CN"/>
              </w:rPr>
              <w:t>2019年1月1日至招标文件发布之日前国家级保密测评中心出具的涉密手动无轨档案密集架检验报告的得3分</w:t>
            </w:r>
          </w:p>
        </w:tc>
        <w:tc>
          <w:tcPr>
            <w:tcW w:w="1907" w:type="dxa"/>
            <w:shd w:val="clear" w:color="auto" w:fill="auto"/>
            <w:vAlign w:val="center"/>
          </w:tcPr>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投标人需在投标文件中提供有关证明材料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75" w:type="dxa"/>
            <w:left w:w="75" w:type="dxa"/>
            <w:bottom w:w="75" w:type="dxa"/>
            <w:right w:w="75" w:type="dxa"/>
          </w:tblCellMar>
        </w:tblPrEx>
        <w:trPr>
          <w:jc w:val="center"/>
        </w:trPr>
        <w:tc>
          <w:tcPr>
            <w:tcW w:w="1536" w:type="dxa"/>
            <w:shd w:val="clear" w:color="auto" w:fill="auto"/>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售后服务</w:t>
            </w:r>
          </w:p>
          <w:p>
            <w:pPr>
              <w:pStyle w:val="2"/>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（技术类评审因素）</w:t>
            </w:r>
          </w:p>
        </w:tc>
        <w:tc>
          <w:tcPr>
            <w:tcW w:w="701" w:type="dxa"/>
            <w:shd w:val="clear" w:color="auto" w:fill="auto"/>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6</w:t>
            </w:r>
          </w:p>
        </w:tc>
        <w:tc>
          <w:tcPr>
            <w:tcW w:w="6015" w:type="dxa"/>
            <w:shd w:val="clear" w:color="auto" w:fill="auto"/>
            <w:vAlign w:val="center"/>
          </w:tcPr>
          <w:p>
            <w:pPr>
              <w:widowControl w:val="0"/>
              <w:snapToGrid w:val="0"/>
              <w:spacing w:line="360" w:lineRule="auto"/>
              <w:jc w:val="left"/>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投标人或</w:t>
            </w:r>
            <w:r>
              <w:rPr>
                <w:rFonts w:hint="eastAsia" w:ascii="仿宋" w:hAnsi="仿宋" w:eastAsia="仿宋" w:cs="仿宋"/>
                <w:color w:val="auto"/>
                <w:sz w:val="24"/>
                <w:szCs w:val="24"/>
                <w:lang w:val="en-US" w:eastAsia="zh-CN"/>
              </w:rPr>
              <w:t>投标产品的生产厂家</w:t>
            </w:r>
            <w:r>
              <w:rPr>
                <w:rFonts w:hint="eastAsia" w:ascii="仿宋" w:hAnsi="仿宋" w:eastAsia="仿宋" w:cs="仿宋"/>
                <w:bCs/>
                <w:color w:val="auto"/>
                <w:sz w:val="24"/>
                <w:szCs w:val="24"/>
              </w:rPr>
              <w:t>获得国家标准五星级《商品售后服务评价体系》认证证书得1分</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获得七星级CTEAS售后服务体系完善程度认证证书得1分</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此项最高得2分</w:t>
            </w:r>
            <w:r>
              <w:rPr>
                <w:rFonts w:hint="eastAsia" w:ascii="仿宋" w:hAnsi="仿宋" w:eastAsia="仿宋" w:cs="仿宋"/>
                <w:bCs/>
                <w:color w:val="auto"/>
                <w:sz w:val="24"/>
                <w:szCs w:val="24"/>
                <w:lang w:eastAsia="zh-CN"/>
              </w:rPr>
              <w:t>；</w:t>
            </w:r>
          </w:p>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）投标人在投标文件中提供关于本项目的售后服务方案，该方案包括但不限于以下细分内容：a.服务标准，b.服务措施，c.售后服务人员名单</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d.售后服务机构设置情况</w:t>
            </w:r>
            <w:r>
              <w:rPr>
                <w:rFonts w:hint="eastAsia" w:ascii="仿宋" w:hAnsi="仿宋" w:eastAsia="仿宋" w:cs="仿宋"/>
                <w:color w:val="auto"/>
                <w:sz w:val="24"/>
                <w:szCs w:val="24"/>
              </w:rPr>
              <w:t>；本单项最多得</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分；前述细分内容中，每有1</w:t>
            </w:r>
            <w:r>
              <w:rPr>
                <w:rFonts w:hint="eastAsia" w:ascii="仿宋" w:hAnsi="仿宋" w:eastAsia="仿宋" w:cs="仿宋"/>
                <w:color w:val="auto"/>
                <w:sz w:val="24"/>
                <w:szCs w:val="24"/>
                <w:lang w:val="en-US" w:eastAsia="zh-CN"/>
              </w:rPr>
              <w:t>项</w:t>
            </w:r>
            <w:r>
              <w:rPr>
                <w:rFonts w:hint="eastAsia" w:ascii="仿宋" w:hAnsi="仿宋" w:eastAsia="仿宋" w:cs="仿宋"/>
                <w:color w:val="auto"/>
                <w:sz w:val="24"/>
                <w:szCs w:val="24"/>
              </w:rPr>
              <w:t>细分内容不完善或存在缺陷的，则在</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分的基础上少得</w:t>
            </w:r>
            <w:r>
              <w:rPr>
                <w:rFonts w:hint="eastAsia" w:ascii="仿宋" w:hAnsi="仿宋" w:eastAsia="仿宋" w:cs="仿宋"/>
                <w:color w:val="auto"/>
                <w:sz w:val="24"/>
                <w:szCs w:val="24"/>
                <w:lang w:val="en-US" w:eastAsia="zh-CN"/>
              </w:rPr>
              <w:t>0.5</w:t>
            </w:r>
            <w:r>
              <w:rPr>
                <w:rFonts w:hint="eastAsia" w:ascii="仿宋" w:hAnsi="仿宋" w:eastAsia="仿宋" w:cs="仿宋"/>
                <w:color w:val="auto"/>
                <w:sz w:val="24"/>
                <w:szCs w:val="24"/>
              </w:rPr>
              <w:t>分，直至本单项不得分；</w:t>
            </w:r>
          </w:p>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投标人或投标产品的生产厂家为</w:t>
            </w:r>
            <w:r>
              <w:rPr>
                <w:rFonts w:hint="eastAsia" w:ascii="仿宋" w:hAnsi="仿宋" w:eastAsia="仿宋" w:cs="仿宋"/>
                <w:color w:val="auto"/>
                <w:sz w:val="24"/>
                <w:szCs w:val="24"/>
              </w:rPr>
              <w:t>拟应用于本项目的产品</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无轨密集架、会议桌、沙发、餐桌）</w:t>
            </w:r>
            <w:r>
              <w:rPr>
                <w:rFonts w:hint="eastAsia" w:ascii="仿宋" w:hAnsi="仿宋" w:eastAsia="仿宋" w:cs="仿宋"/>
                <w:color w:val="auto"/>
                <w:sz w:val="24"/>
                <w:szCs w:val="24"/>
              </w:rPr>
              <w:t>购买了责任保险且仍在保险期内的，每有1个产品得0.5分，本单项最多得</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w:t>
            </w:r>
          </w:p>
        </w:tc>
        <w:tc>
          <w:tcPr>
            <w:tcW w:w="1907" w:type="dxa"/>
            <w:shd w:val="clear" w:color="auto" w:fill="auto"/>
            <w:vAlign w:val="center"/>
          </w:tcPr>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投标人需在投标文件中提供有关证明材料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75" w:type="dxa"/>
            <w:left w:w="75" w:type="dxa"/>
            <w:bottom w:w="75" w:type="dxa"/>
            <w:right w:w="75" w:type="dxa"/>
          </w:tblCellMar>
        </w:tblPrEx>
        <w:trPr>
          <w:jc w:val="center"/>
        </w:trPr>
        <w:tc>
          <w:tcPr>
            <w:tcW w:w="1536" w:type="dxa"/>
            <w:shd w:val="clear" w:color="auto" w:fill="auto"/>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类似业绩</w:t>
            </w:r>
          </w:p>
        </w:tc>
        <w:tc>
          <w:tcPr>
            <w:tcW w:w="701" w:type="dxa"/>
            <w:shd w:val="clear" w:color="auto" w:fill="auto"/>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6015" w:type="dxa"/>
            <w:shd w:val="clear" w:color="auto" w:fill="auto"/>
            <w:vAlign w:val="center"/>
          </w:tcPr>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自2018年以来，投标人具有与本项目类似的业绩，每有1个得1分，本项最多得4分</w:t>
            </w:r>
          </w:p>
        </w:tc>
        <w:tc>
          <w:tcPr>
            <w:tcW w:w="1907" w:type="dxa"/>
            <w:shd w:val="clear" w:color="auto" w:fill="auto"/>
            <w:vAlign w:val="center"/>
          </w:tcPr>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投标人需在投标文件中提供合同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75" w:type="dxa"/>
            <w:left w:w="75" w:type="dxa"/>
            <w:bottom w:w="75" w:type="dxa"/>
            <w:right w:w="75" w:type="dxa"/>
          </w:tblCellMar>
        </w:tblPrEx>
        <w:trPr>
          <w:jc w:val="center"/>
        </w:trPr>
        <w:tc>
          <w:tcPr>
            <w:tcW w:w="1536" w:type="dxa"/>
            <w:vMerge w:val="restart"/>
            <w:shd w:val="clear" w:color="auto" w:fill="auto"/>
            <w:vAlign w:val="center"/>
          </w:tcPr>
          <w:p>
            <w:pPr>
              <w:spacing w:line="360" w:lineRule="auto"/>
              <w:jc w:val="center"/>
              <w:rPr>
                <w:rFonts w:hint="eastAsia" w:ascii="仿宋" w:hAnsi="仿宋" w:eastAsia="仿宋" w:cs="仿宋"/>
                <w:color w:val="auto"/>
                <w:sz w:val="24"/>
                <w:szCs w:val="24"/>
              </w:rPr>
            </w:pPr>
            <w:bookmarkStart w:id="20" w:name="_Hlk44600390"/>
            <w:r>
              <w:rPr>
                <w:rFonts w:hint="eastAsia" w:ascii="仿宋" w:hAnsi="仿宋" w:eastAsia="仿宋" w:cs="仿宋"/>
                <w:color w:val="auto"/>
                <w:sz w:val="24"/>
                <w:szCs w:val="24"/>
              </w:rPr>
              <w:t>投标人实力</w:t>
            </w:r>
            <w:bookmarkEnd w:id="20"/>
          </w:p>
        </w:tc>
        <w:tc>
          <w:tcPr>
            <w:tcW w:w="701" w:type="dxa"/>
            <w:shd w:val="clear" w:color="auto" w:fill="auto"/>
            <w:vAlign w:val="center"/>
          </w:tcPr>
          <w:p>
            <w:pPr>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w:t>
            </w:r>
          </w:p>
        </w:tc>
        <w:tc>
          <w:tcPr>
            <w:tcW w:w="6015" w:type="dxa"/>
            <w:shd w:val="clear" w:color="auto" w:fill="auto"/>
            <w:vAlign w:val="center"/>
          </w:tcPr>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投标产品的生产厂家</w:t>
            </w:r>
            <w:r>
              <w:rPr>
                <w:rFonts w:hint="eastAsia" w:ascii="仿宋" w:hAnsi="仿宋" w:eastAsia="仿宋" w:cs="仿宋"/>
                <w:color w:val="auto"/>
                <w:sz w:val="24"/>
                <w:szCs w:val="24"/>
              </w:rPr>
              <w:t>具有ISO9001质量管理体系认证证书的得2分；（</w:t>
            </w:r>
            <w:r>
              <w:rPr>
                <w:rFonts w:hint="eastAsia" w:ascii="仿宋" w:hAnsi="仿宋" w:eastAsia="仿宋" w:cs="仿宋"/>
                <w:color w:val="auto"/>
                <w:sz w:val="24"/>
                <w:szCs w:val="24"/>
                <w:lang w:val="en-US" w:eastAsia="zh-CN"/>
              </w:rPr>
              <w:t>覆盖的产品和服务</w:t>
            </w:r>
            <w:r>
              <w:rPr>
                <w:rFonts w:hint="eastAsia" w:ascii="仿宋" w:hAnsi="仿宋" w:eastAsia="仿宋" w:cs="仿宋"/>
                <w:color w:val="auto"/>
                <w:sz w:val="24"/>
                <w:szCs w:val="24"/>
              </w:rPr>
              <w:t>包括：班台、会议桌、茶几</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洽谈桌</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无轨密集架、</w:t>
            </w:r>
            <w:r>
              <w:rPr>
                <w:rFonts w:hint="eastAsia" w:ascii="仿宋" w:hAnsi="仿宋" w:eastAsia="仿宋" w:cs="仿宋"/>
                <w:color w:val="auto"/>
                <w:sz w:val="24"/>
                <w:szCs w:val="24"/>
                <w:lang w:eastAsia="zh-CN"/>
              </w:rPr>
              <w:t>办公椅</w:t>
            </w:r>
            <w:r>
              <w:rPr>
                <w:rFonts w:hint="eastAsia" w:ascii="仿宋" w:hAnsi="仿宋" w:eastAsia="仿宋" w:cs="仿宋"/>
                <w:color w:val="auto"/>
                <w:sz w:val="24"/>
                <w:szCs w:val="24"/>
              </w:rPr>
              <w:t>的设计开发、制造、安装、销售及售后服务，未完全满足不得分）</w:t>
            </w:r>
          </w:p>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投标产品的生产厂家具有高新技术企业证书</w:t>
            </w:r>
            <w:r>
              <w:rPr>
                <w:rFonts w:hint="eastAsia" w:ascii="仿宋" w:hAnsi="仿宋" w:eastAsia="仿宋" w:cs="仿宋"/>
                <w:color w:val="auto"/>
                <w:sz w:val="24"/>
                <w:szCs w:val="24"/>
              </w:rPr>
              <w:t>的得2分；</w:t>
            </w:r>
          </w:p>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投标产品的生产厂家具有</w:t>
            </w:r>
            <w:r>
              <w:rPr>
                <w:rFonts w:hint="eastAsia" w:ascii="仿宋" w:hAnsi="仿宋" w:eastAsia="仿宋" w:cs="仿宋"/>
                <w:color w:val="auto"/>
                <w:sz w:val="24"/>
                <w:szCs w:val="24"/>
              </w:rPr>
              <w:t>家具中有害物质限量认证证书的得2分（认证单元需包含：桌类、柜类、椅凳类、床类，未完全满足的本单项不得分）</w:t>
            </w:r>
          </w:p>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投标产品的生产厂家</w:t>
            </w:r>
            <w:r>
              <w:rPr>
                <w:rFonts w:hint="eastAsia" w:ascii="仿宋" w:hAnsi="仿宋" w:eastAsia="仿宋" w:cs="仿宋"/>
                <w:color w:val="auto"/>
                <w:sz w:val="24"/>
                <w:szCs w:val="24"/>
              </w:rPr>
              <w:t>为市级或以上绿色制造示范单位的得</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分（提供网页名单公示截图，否则不得分。）</w:t>
            </w:r>
          </w:p>
          <w:p>
            <w:pPr>
              <w:pStyle w:val="2"/>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（5）投标产品的生产厂家</w:t>
            </w:r>
            <w:r>
              <w:rPr>
                <w:rFonts w:hint="eastAsia" w:ascii="仿宋" w:hAnsi="仿宋" w:eastAsia="仿宋" w:cs="仿宋"/>
                <w:color w:val="auto"/>
                <w:sz w:val="24"/>
                <w:szCs w:val="24"/>
              </w:rPr>
              <w:t>获得</w:t>
            </w:r>
            <w:r>
              <w:rPr>
                <w:rFonts w:hint="eastAsia" w:ascii="仿宋" w:hAnsi="仿宋" w:eastAsia="仿宋" w:cs="仿宋"/>
                <w:color w:val="auto"/>
                <w:sz w:val="24"/>
                <w:szCs w:val="24"/>
                <w:lang w:eastAsia="zh-CN"/>
              </w:rPr>
              <w:t>中国环保产品认证证书</w:t>
            </w:r>
            <w:r>
              <w:rPr>
                <w:rFonts w:hint="eastAsia" w:ascii="仿宋" w:hAnsi="仿宋" w:eastAsia="仿宋" w:cs="仿宋"/>
                <w:color w:val="auto"/>
                <w:sz w:val="24"/>
                <w:szCs w:val="24"/>
              </w:rPr>
              <w:t>的得</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分；（验证产品需包含</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木制办公家具、金属办公家具、沙发</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未完全满足不得分）</w:t>
            </w:r>
            <w:r>
              <w:rPr>
                <w:rFonts w:hint="eastAsia" w:ascii="仿宋" w:hAnsi="仿宋" w:eastAsia="仿宋" w:cs="仿宋"/>
                <w:color w:val="auto"/>
                <w:sz w:val="24"/>
                <w:szCs w:val="24"/>
                <w:lang w:eastAsia="zh-CN"/>
              </w:rPr>
              <w:t>；</w:t>
            </w:r>
          </w:p>
          <w:p>
            <w:pPr>
              <w:pStyle w:val="3"/>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投标产品</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班台、会议桌、茶几</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洽谈桌</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无轨密集架、</w:t>
            </w:r>
            <w:r>
              <w:rPr>
                <w:rFonts w:hint="eastAsia" w:ascii="仿宋" w:hAnsi="仿宋" w:eastAsia="仿宋" w:cs="仿宋"/>
                <w:color w:val="auto"/>
                <w:sz w:val="24"/>
                <w:szCs w:val="24"/>
                <w:lang w:eastAsia="zh-CN"/>
              </w:rPr>
              <w:t>办公椅）</w:t>
            </w:r>
            <w:r>
              <w:rPr>
                <w:rFonts w:hint="eastAsia" w:ascii="仿宋" w:hAnsi="仿宋" w:eastAsia="仿宋" w:cs="仿宋"/>
                <w:color w:val="auto"/>
                <w:sz w:val="24"/>
                <w:szCs w:val="24"/>
                <w:lang w:val="en-US" w:eastAsia="zh-CN"/>
              </w:rPr>
              <w:t>具有健康产品认证证书</w:t>
            </w:r>
            <w:r>
              <w:rPr>
                <w:rFonts w:hint="eastAsia" w:ascii="仿宋" w:hAnsi="仿宋" w:eastAsia="仿宋" w:cs="仿宋"/>
                <w:color w:val="auto"/>
                <w:sz w:val="24"/>
                <w:szCs w:val="24"/>
              </w:rPr>
              <w:t>的得2分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未完全</w:t>
            </w:r>
            <w:r>
              <w:rPr>
                <w:rFonts w:hint="eastAsia" w:ascii="仿宋" w:hAnsi="仿宋" w:eastAsia="仿宋" w:cs="仿宋"/>
                <w:color w:val="auto"/>
                <w:sz w:val="24"/>
                <w:szCs w:val="24"/>
                <w:lang w:eastAsia="zh-CN"/>
              </w:rPr>
              <w:t>满足不得分</w:t>
            </w:r>
          </w:p>
        </w:tc>
        <w:tc>
          <w:tcPr>
            <w:tcW w:w="1907" w:type="dxa"/>
            <w:shd w:val="clear" w:color="auto" w:fill="auto"/>
            <w:vAlign w:val="center"/>
          </w:tcPr>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投标人需在投标文件中提供有关证明材料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75" w:type="dxa"/>
            <w:left w:w="75" w:type="dxa"/>
            <w:bottom w:w="75" w:type="dxa"/>
            <w:right w:w="75" w:type="dxa"/>
          </w:tblCellMar>
        </w:tblPrEx>
        <w:trPr>
          <w:jc w:val="center"/>
        </w:trPr>
        <w:tc>
          <w:tcPr>
            <w:tcW w:w="1536" w:type="dxa"/>
            <w:vMerge w:val="continue"/>
            <w:shd w:val="clear" w:color="auto" w:fill="auto"/>
            <w:vAlign w:val="center"/>
          </w:tcPr>
          <w:p>
            <w:pPr>
              <w:spacing w:line="360" w:lineRule="auto"/>
              <w:jc w:val="center"/>
              <w:rPr>
                <w:rFonts w:hint="eastAsia" w:ascii="仿宋" w:hAnsi="仿宋" w:eastAsia="仿宋" w:cs="仿宋"/>
                <w:color w:val="auto"/>
                <w:sz w:val="24"/>
                <w:szCs w:val="24"/>
              </w:rPr>
            </w:pPr>
          </w:p>
        </w:tc>
        <w:tc>
          <w:tcPr>
            <w:tcW w:w="701" w:type="dxa"/>
            <w:shd w:val="clear" w:color="auto" w:fill="auto"/>
            <w:vAlign w:val="center"/>
          </w:tcPr>
          <w:p>
            <w:pPr>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6015" w:type="dxa"/>
            <w:shd w:val="clear" w:color="auto" w:fill="auto"/>
            <w:vAlign w:val="center"/>
          </w:tcPr>
          <w:p>
            <w:pPr>
              <w:spacing w:line="360" w:lineRule="auto"/>
              <w:rPr>
                <w:rFonts w:hint="eastAsia" w:ascii="仿宋" w:hAnsi="仿宋" w:eastAsia="仿宋" w:cs="仿宋"/>
                <w:bCs/>
                <w:color w:val="auto"/>
                <w:sz w:val="24"/>
                <w:szCs w:val="24"/>
              </w:rPr>
            </w:pPr>
            <w:r>
              <w:rPr>
                <w:rFonts w:hint="eastAsia" w:ascii="仿宋" w:hAnsi="仿宋" w:eastAsia="仿宋" w:cs="仿宋"/>
                <w:bCs/>
                <w:color w:val="auto"/>
                <w:sz w:val="24"/>
                <w:szCs w:val="24"/>
              </w:rPr>
              <w:t>拟应用于本项目的产品将使用如下设备处理：</w:t>
            </w:r>
          </w:p>
          <w:p>
            <w:pPr>
              <w:spacing w:line="360" w:lineRule="auto"/>
              <w:rPr>
                <w:rFonts w:hint="eastAsia" w:ascii="仿宋" w:hAnsi="仿宋" w:eastAsia="仿宋" w:cs="仿宋"/>
                <w:bCs/>
                <w:color w:val="auto"/>
                <w:sz w:val="24"/>
                <w:szCs w:val="24"/>
              </w:rPr>
            </w:pPr>
            <w:r>
              <w:rPr>
                <w:rFonts w:hint="eastAsia" w:ascii="仿宋" w:hAnsi="仿宋" w:eastAsia="仿宋" w:cs="仿宋"/>
                <w:bCs/>
                <w:color w:val="auto"/>
                <w:sz w:val="24"/>
                <w:szCs w:val="24"/>
              </w:rPr>
              <w:t>（1）贴标机；（2）齐板靠边装置；（3）胶水辊涂机；（4）智能数控异型封边加工中心；（5）全自动L型双工位柔性加工生产线；（6）多轴钻孔机；（7）全自动木皮拼接机；（8）CNC通过式钻孔全自动柔性加工中心；（9）金属板材数控校平开平系统；（10）火花探测及喷水熄灭火花装置；</w:t>
            </w:r>
          </w:p>
          <w:p>
            <w:pPr>
              <w:pStyle w:val="2"/>
              <w:spacing w:line="360" w:lineRule="auto"/>
              <w:rPr>
                <w:rFonts w:hint="eastAsia" w:ascii="仿宋" w:hAnsi="仿宋" w:eastAsia="仿宋" w:cs="仿宋"/>
                <w:color w:val="auto"/>
                <w:sz w:val="24"/>
                <w:szCs w:val="24"/>
              </w:rPr>
            </w:pPr>
            <w:r>
              <w:rPr>
                <w:rFonts w:hint="eastAsia" w:ascii="仿宋" w:hAnsi="仿宋" w:eastAsia="仿宋" w:cs="仿宋"/>
                <w:bCs/>
                <w:color w:val="auto"/>
                <w:sz w:val="24"/>
                <w:szCs w:val="24"/>
              </w:rPr>
              <w:t>以上内容每有1个单项的得</w:t>
            </w: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rPr>
              <w:t>分，本项最多得</w:t>
            </w:r>
            <w:r>
              <w:rPr>
                <w:rFonts w:hint="eastAsia" w:ascii="仿宋" w:hAnsi="仿宋" w:eastAsia="仿宋" w:cs="仿宋"/>
                <w:bCs/>
                <w:color w:val="auto"/>
                <w:sz w:val="24"/>
                <w:szCs w:val="24"/>
                <w:lang w:val="en-US" w:eastAsia="zh-CN"/>
              </w:rPr>
              <w:t>10</w:t>
            </w:r>
            <w:r>
              <w:rPr>
                <w:rFonts w:hint="eastAsia" w:ascii="仿宋" w:hAnsi="仿宋" w:eastAsia="仿宋" w:cs="仿宋"/>
                <w:bCs/>
                <w:color w:val="auto"/>
                <w:sz w:val="24"/>
                <w:szCs w:val="24"/>
              </w:rPr>
              <w:t>分</w:t>
            </w:r>
          </w:p>
        </w:tc>
        <w:tc>
          <w:tcPr>
            <w:tcW w:w="1907" w:type="dxa"/>
            <w:shd w:val="clear" w:color="auto" w:fill="auto"/>
            <w:vAlign w:val="center"/>
          </w:tcPr>
          <w:p>
            <w:pPr>
              <w:spacing w:line="360" w:lineRule="auto"/>
              <w:jc w:val="left"/>
              <w:rPr>
                <w:rFonts w:hint="eastAsia" w:ascii="仿宋" w:hAnsi="仿宋" w:eastAsia="仿宋" w:cs="仿宋"/>
                <w:color w:val="auto"/>
                <w:sz w:val="24"/>
                <w:szCs w:val="24"/>
              </w:rPr>
            </w:pPr>
            <w:r>
              <w:rPr>
                <w:rFonts w:hint="eastAsia" w:ascii="仿宋" w:hAnsi="仿宋" w:eastAsia="仿宋" w:cs="仿宋"/>
                <w:bCs/>
                <w:color w:val="auto"/>
                <w:sz w:val="24"/>
                <w:szCs w:val="24"/>
              </w:rPr>
              <w:t>投标人需在投标文件中提供设备购置发票、设备现场照片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75" w:type="dxa"/>
            <w:left w:w="75" w:type="dxa"/>
            <w:bottom w:w="75" w:type="dxa"/>
            <w:right w:w="75" w:type="dxa"/>
          </w:tblCellMar>
        </w:tblPrEx>
        <w:trPr>
          <w:jc w:val="center"/>
        </w:trPr>
        <w:tc>
          <w:tcPr>
            <w:tcW w:w="1536" w:type="dxa"/>
            <w:shd w:val="clear" w:color="auto" w:fill="auto"/>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环保</w:t>
            </w:r>
          </w:p>
        </w:tc>
        <w:tc>
          <w:tcPr>
            <w:tcW w:w="701" w:type="dxa"/>
            <w:shd w:val="clear" w:color="auto" w:fill="auto"/>
            <w:vAlign w:val="center"/>
          </w:tcPr>
          <w:p>
            <w:pPr>
              <w:spacing w:line="360" w:lineRule="auto"/>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8</w:t>
            </w:r>
          </w:p>
        </w:tc>
        <w:tc>
          <w:tcPr>
            <w:tcW w:w="6015" w:type="dxa"/>
            <w:shd w:val="clear" w:color="auto" w:fill="auto"/>
            <w:vAlign w:val="center"/>
          </w:tcPr>
          <w:p>
            <w:pPr>
              <w:numPr>
                <w:ilvl w:val="0"/>
                <w:numId w:val="7"/>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投标产品的生产厂家</w:t>
            </w:r>
            <w:r>
              <w:rPr>
                <w:rFonts w:hint="eastAsia" w:ascii="仿宋" w:hAnsi="仿宋" w:eastAsia="仿宋" w:cs="仿宋"/>
                <w:color w:val="auto"/>
                <w:sz w:val="24"/>
                <w:szCs w:val="24"/>
              </w:rPr>
              <w:t>具有ISO14001环境管理体系认证证书的得2分（</w:t>
            </w:r>
            <w:r>
              <w:rPr>
                <w:rFonts w:hint="eastAsia" w:ascii="仿宋" w:hAnsi="仿宋" w:eastAsia="仿宋" w:cs="仿宋"/>
                <w:color w:val="auto"/>
                <w:sz w:val="24"/>
                <w:szCs w:val="24"/>
                <w:lang w:val="en-US" w:eastAsia="zh-CN"/>
              </w:rPr>
              <w:t>覆盖的产品和服务</w:t>
            </w:r>
            <w:r>
              <w:rPr>
                <w:rFonts w:hint="eastAsia" w:ascii="仿宋" w:hAnsi="仿宋" w:eastAsia="仿宋" w:cs="仿宋"/>
                <w:color w:val="auto"/>
                <w:sz w:val="24"/>
                <w:szCs w:val="24"/>
              </w:rPr>
              <w:t>包括：班台、会议桌、茶几</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洽谈桌</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无轨密集架、</w:t>
            </w:r>
            <w:r>
              <w:rPr>
                <w:rFonts w:hint="eastAsia" w:ascii="仿宋" w:hAnsi="仿宋" w:eastAsia="仿宋" w:cs="仿宋"/>
                <w:color w:val="auto"/>
                <w:sz w:val="24"/>
                <w:szCs w:val="24"/>
                <w:lang w:eastAsia="zh-CN"/>
              </w:rPr>
              <w:t>办公椅</w:t>
            </w:r>
            <w:r>
              <w:rPr>
                <w:rFonts w:hint="eastAsia" w:ascii="仿宋" w:hAnsi="仿宋" w:eastAsia="仿宋" w:cs="仿宋"/>
                <w:color w:val="auto"/>
                <w:sz w:val="24"/>
                <w:szCs w:val="24"/>
              </w:rPr>
              <w:t>的设计开发、制造、安装、销售及售后服务，未完全满足不得分）；</w:t>
            </w:r>
          </w:p>
          <w:p>
            <w:pPr>
              <w:numPr>
                <w:ilvl w:val="0"/>
                <w:numId w:val="7"/>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投标产品的生产厂家</w:t>
            </w:r>
            <w:r>
              <w:rPr>
                <w:rFonts w:hint="eastAsia" w:ascii="仿宋" w:hAnsi="仿宋" w:eastAsia="仿宋" w:cs="仿宋"/>
                <w:color w:val="auto"/>
                <w:sz w:val="24"/>
                <w:szCs w:val="24"/>
              </w:rPr>
              <w:t>具有IS0</w:t>
            </w:r>
            <w:r>
              <w:rPr>
                <w:rFonts w:hint="eastAsia" w:ascii="仿宋" w:hAnsi="仿宋" w:eastAsia="仿宋" w:cs="仿宋"/>
                <w:color w:val="auto"/>
                <w:sz w:val="24"/>
                <w:szCs w:val="24"/>
                <w:lang w:val="en-US" w:eastAsia="zh-CN"/>
              </w:rPr>
              <w:t xml:space="preserve"> 50001:2018能源管理体系认证</w:t>
            </w:r>
            <w:r>
              <w:rPr>
                <w:rFonts w:hint="eastAsia" w:ascii="仿宋" w:hAnsi="仿宋" w:eastAsia="仿宋" w:cs="仿宋"/>
                <w:color w:val="auto"/>
                <w:sz w:val="24"/>
                <w:szCs w:val="24"/>
              </w:rPr>
              <w:t>证书的得2分；</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投标产品的生产厂家具有</w:t>
            </w:r>
            <w:r>
              <w:rPr>
                <w:rFonts w:hint="eastAsia" w:ascii="仿宋" w:hAnsi="仿宋" w:eastAsia="仿宋" w:cs="仿宋"/>
                <w:color w:val="auto"/>
                <w:sz w:val="24"/>
                <w:szCs w:val="24"/>
              </w:rPr>
              <w:t>测量管理体系认证证书得2分；（认证范围</w:t>
            </w:r>
            <w:r>
              <w:rPr>
                <w:rFonts w:hint="eastAsia" w:ascii="仿宋" w:hAnsi="仿宋" w:eastAsia="仿宋" w:cs="仿宋"/>
                <w:color w:val="auto"/>
                <w:sz w:val="24"/>
                <w:szCs w:val="24"/>
                <w:lang w:eastAsia="zh-CN"/>
              </w:rPr>
              <w:t>至少包含但不限于以下产品</w:t>
            </w:r>
            <w:r>
              <w:rPr>
                <w:rFonts w:hint="eastAsia" w:ascii="仿宋" w:hAnsi="仿宋" w:eastAsia="仿宋" w:cs="仿宋"/>
                <w:color w:val="auto"/>
                <w:sz w:val="24"/>
                <w:szCs w:val="24"/>
              </w:rPr>
              <w:t>：班台、会议桌、茶几</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洽谈桌</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无轨密集架、</w:t>
            </w:r>
            <w:r>
              <w:rPr>
                <w:rFonts w:hint="eastAsia" w:ascii="仿宋" w:hAnsi="仿宋" w:eastAsia="仿宋" w:cs="仿宋"/>
                <w:color w:val="auto"/>
                <w:sz w:val="24"/>
                <w:szCs w:val="24"/>
                <w:lang w:eastAsia="zh-CN"/>
              </w:rPr>
              <w:t>办公椅</w:t>
            </w:r>
            <w:r>
              <w:rPr>
                <w:rFonts w:hint="eastAsia" w:ascii="仿宋" w:hAnsi="仿宋" w:eastAsia="仿宋" w:cs="仿宋"/>
                <w:color w:val="auto"/>
                <w:sz w:val="24"/>
                <w:szCs w:val="24"/>
              </w:rPr>
              <w:t>的设计开发、制造、销售及售后服务的测量管理体系，未完全满足的本单项不得分）</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）投标人的投标产品被认定为政府采购节能产品或者政府采购环境标志产品的，每有1个得0.5分，本单项最多得</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w:t>
            </w:r>
          </w:p>
        </w:tc>
        <w:tc>
          <w:tcPr>
            <w:tcW w:w="1907" w:type="dxa"/>
            <w:shd w:val="clear" w:color="auto" w:fill="auto"/>
            <w:vAlign w:val="center"/>
          </w:tcPr>
          <w:p>
            <w:pPr>
              <w:pStyle w:val="2"/>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投标人需在投标文件中提供有关证明材料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75" w:type="dxa"/>
            <w:left w:w="75" w:type="dxa"/>
            <w:bottom w:w="75" w:type="dxa"/>
            <w:right w:w="75" w:type="dxa"/>
          </w:tblCellMar>
        </w:tblPrEx>
        <w:trPr>
          <w:jc w:val="center"/>
        </w:trPr>
        <w:tc>
          <w:tcPr>
            <w:tcW w:w="1536" w:type="dxa"/>
            <w:shd w:val="clear" w:color="auto" w:fill="auto"/>
            <w:vAlign w:val="center"/>
          </w:tcPr>
          <w:p>
            <w:pPr>
              <w:pStyle w:val="45"/>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扶持不发达地区和少数民族地区</w:t>
            </w:r>
            <w:r>
              <w:rPr>
                <w:rFonts w:hint="eastAsia" w:ascii="仿宋" w:hAnsi="仿宋" w:eastAsia="仿宋" w:cs="仿宋"/>
                <w:bCs/>
                <w:color w:val="auto"/>
                <w:sz w:val="24"/>
                <w:szCs w:val="24"/>
              </w:rPr>
              <w:t>政策</w:t>
            </w:r>
          </w:p>
        </w:tc>
        <w:tc>
          <w:tcPr>
            <w:tcW w:w="701" w:type="dxa"/>
            <w:shd w:val="clear" w:color="auto" w:fill="auto"/>
            <w:vAlign w:val="center"/>
          </w:tcPr>
          <w:p>
            <w:pPr>
              <w:pStyle w:val="46"/>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w:t>
            </w:r>
          </w:p>
        </w:tc>
        <w:tc>
          <w:tcPr>
            <w:tcW w:w="6015" w:type="dxa"/>
            <w:shd w:val="clear" w:color="auto" w:fill="auto"/>
            <w:vAlign w:val="center"/>
          </w:tcPr>
          <w:p>
            <w:pPr>
              <w:spacing w:line="360" w:lineRule="auto"/>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rPr>
              <w:t>投标人</w:t>
            </w:r>
            <w:r>
              <w:rPr>
                <w:rFonts w:hint="eastAsia" w:ascii="仿宋" w:hAnsi="仿宋" w:eastAsia="仿宋" w:cs="仿宋"/>
                <w:bCs/>
                <w:color w:val="auto"/>
                <w:sz w:val="24"/>
                <w:szCs w:val="24"/>
              </w:rPr>
              <w:t>的注册地为少数民族或不发达地区的得1分；</w:t>
            </w:r>
          </w:p>
          <w:p>
            <w:pPr>
              <w:pStyle w:val="47"/>
              <w:spacing w:line="360" w:lineRule="auto"/>
              <w:ind w:left="42" w:leftChars="20"/>
              <w:rPr>
                <w:rFonts w:hint="eastAsia" w:ascii="仿宋" w:hAnsi="仿宋" w:eastAsia="仿宋" w:cs="仿宋"/>
                <w:color w:val="auto"/>
                <w:sz w:val="24"/>
                <w:szCs w:val="24"/>
              </w:rPr>
            </w:pPr>
          </w:p>
        </w:tc>
        <w:tc>
          <w:tcPr>
            <w:tcW w:w="1907" w:type="dxa"/>
            <w:shd w:val="clear" w:color="auto" w:fill="auto"/>
            <w:vAlign w:val="center"/>
          </w:tcPr>
          <w:p>
            <w:pPr>
              <w:pStyle w:val="2"/>
              <w:spacing w:line="360" w:lineRule="auto"/>
              <w:rPr>
                <w:rFonts w:hint="eastAsia" w:ascii="仿宋" w:hAnsi="仿宋" w:eastAsia="仿宋" w:cs="仿宋"/>
                <w:color w:val="auto"/>
                <w:sz w:val="24"/>
                <w:szCs w:val="24"/>
              </w:rPr>
            </w:pPr>
            <w:r>
              <w:rPr>
                <w:rFonts w:hint="eastAsia" w:ascii="仿宋" w:hAnsi="仿宋" w:eastAsia="仿宋" w:cs="仿宋"/>
                <w:bCs/>
                <w:color w:val="auto"/>
                <w:sz w:val="24"/>
                <w:szCs w:val="24"/>
              </w:rPr>
              <w:t>投标人需在投标文件中提供对应证明材料</w:t>
            </w:r>
          </w:p>
        </w:tc>
      </w:tr>
    </w:tbl>
    <w:p>
      <w:pPr>
        <w:spacing w:line="520" w:lineRule="exact"/>
        <w:ind w:firstLine="560" w:firstLineChars="200"/>
        <w:rPr>
          <w:rFonts w:ascii="Times New Roman" w:hAnsi="Times New Roman" w:eastAsia="仿宋" w:cs="Times New Roman"/>
          <w:sz w:val="28"/>
          <w:szCs w:val="24"/>
        </w:rPr>
      </w:pPr>
    </w:p>
    <w:p>
      <w:pPr>
        <w:spacing w:line="520" w:lineRule="exact"/>
        <w:ind w:firstLine="562" w:firstLineChars="200"/>
        <w:rPr>
          <w:rFonts w:ascii="Times New Roman" w:hAnsi="Times New Roman" w:eastAsia="仿宋" w:cs="Times New Roman"/>
          <w:b/>
          <w:sz w:val="28"/>
          <w:szCs w:val="24"/>
        </w:rPr>
      </w:pPr>
      <w:r>
        <w:rPr>
          <w:rFonts w:ascii="Times New Roman" w:hAnsi="Times New Roman" w:eastAsia="仿宋" w:cs="Times New Roman"/>
          <w:b/>
          <w:sz w:val="28"/>
          <w:szCs w:val="24"/>
        </w:rPr>
        <w:t>（四）推荐中标候选人</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1.本项目应推荐的中标候选人数量见招标文件第二章。</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2.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520" w:lineRule="exact"/>
        <w:ind w:firstLine="562" w:firstLineChars="200"/>
        <w:rPr>
          <w:rFonts w:ascii="Times New Roman" w:hAnsi="Times New Roman" w:eastAsia="仿宋" w:cs="Times New Roman"/>
          <w:b/>
          <w:sz w:val="28"/>
          <w:szCs w:val="24"/>
        </w:rPr>
      </w:pPr>
      <w:r>
        <w:rPr>
          <w:rFonts w:ascii="Times New Roman" w:hAnsi="Times New Roman" w:eastAsia="仿宋" w:cs="Times New Roman"/>
          <w:b/>
          <w:sz w:val="28"/>
          <w:szCs w:val="24"/>
        </w:rPr>
        <w:t>（五）招标采购单位现场复核评标结果</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1.</w:t>
      </w:r>
      <w:bookmarkStart w:id="21" w:name="_Hlk8294765"/>
      <w:r>
        <w:rPr>
          <w:rFonts w:ascii="Times New Roman" w:hAnsi="Times New Roman" w:eastAsia="仿宋" w:cs="Times New Roman"/>
          <w:sz w:val="28"/>
          <w:szCs w:val="24"/>
        </w:rPr>
        <w:t>评标结果汇总完成后，评标委员会拟出具评标报告前，</w:t>
      </w:r>
      <w:bookmarkEnd w:id="21"/>
      <w:r>
        <w:rPr>
          <w:rFonts w:ascii="Times New Roman" w:hAnsi="Times New Roman" w:eastAsia="仿宋" w:cs="Times New Roman"/>
          <w:sz w:val="28"/>
          <w:szCs w:val="24"/>
        </w:rPr>
        <w:t>评标委员会应通知并配合招标采购单位对评标结果的现场复核。招标采购单位应当组织2名以上的本单位工作人员，在采购现场监督人员的监督之下，对评标结果进行复核，出具复核报告</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2.存在下列情形之一的，招标采购单位应当根据情况书面建议评标委员会现场修改：</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（1）分值汇总计算错误的；</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（2）分项评分超出评分标准范围的；</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（3）客观评分不一致的；</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（4）经评标委员会认定评分畸高、畸低的。</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3.存在上述规定情形的，由评标委员会成员自主决定是否采纳招标采购单位的书面建议，并承担独立评审责任。</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4.评标委员会采纳招标采购单位书面建议的，应当按照规定现场修改评标结果，并在评标报告中详细记载有关事宜；不采纳招标采购单位书面建议的，应当书面说明理由。</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5.招标采购单位书面建议未被评标委员会采纳的，应当按照规定程序继续实施采购活动，不得擅自中止采购活动。</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6.招标采购单位认为评标委员会评标结果不合法的，应当书面报告采购项目同级财政部门。</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7.存在下列情形之一的，不得现场修改评标结果：</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（1）评标委员会已经出具评标报告并且离开评标现场的；</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（2）招标采购单位现场复核时，复核工作人员数量不足的；</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（3）招标采购单位现场复核时，没有采购监督人员现场监督的；</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（4）招标采购单位现场复核内容超出规定范围的；</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（5）招标采购单位未提供书面建议的。</w:t>
      </w:r>
    </w:p>
    <w:p>
      <w:pPr>
        <w:spacing w:line="520" w:lineRule="exact"/>
        <w:ind w:firstLine="562" w:firstLineChars="200"/>
        <w:rPr>
          <w:rFonts w:ascii="Times New Roman" w:hAnsi="Times New Roman" w:eastAsia="仿宋" w:cs="Times New Roman"/>
          <w:b/>
          <w:sz w:val="28"/>
          <w:szCs w:val="24"/>
        </w:rPr>
      </w:pPr>
      <w:r>
        <w:rPr>
          <w:rFonts w:ascii="Times New Roman" w:hAnsi="Times New Roman" w:eastAsia="仿宋" w:cs="Times New Roman"/>
          <w:b/>
          <w:sz w:val="28"/>
          <w:szCs w:val="24"/>
        </w:rPr>
        <w:t>（六）编写评标报告</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1.评标委员会根据全体评标成员签字的原始评标记录和评标结果编写评标报告。评标报告应当包括以下内容：</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（1）招标公告刊登的媒体名称、开标日期和地点；</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（2）投标人名单和评标委员会成员名单；</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（3）评标方法和标准；</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（4）开标记录和评标情况及说明，包括无效投标人名单及原因；</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（5）评标结果，确定的中标候选人名单或者经采购人委托直接确定的中标人；</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（6）其他需要说明的情况，包括评标过程中投标人根据评标委员会要求进行的澄清、说明或者补正，评标委员会成员的更换等。</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2.评标报告签署前，评标委员会应当进行复核。经复核发现分值汇总计算错误的、分项评分超出评分标准范围的、评标委员会成员对客观评审因素评分不一致的或经评标委员会认定评分畸高、畸低的，评标委员会应当当场修改评标结果，并在评标报告中记载。</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3.评标委员会成员应当在评标报告中签字确认，对自己的评审意见承担法律责任。</w:t>
      </w:r>
    </w:p>
    <w:p>
      <w:pPr>
        <w:spacing w:line="520" w:lineRule="exact"/>
        <w:ind w:firstLine="562" w:firstLineChars="200"/>
        <w:rPr>
          <w:rFonts w:ascii="Times New Roman" w:hAnsi="Times New Roman" w:eastAsia="仿宋" w:cs="Times New Roman"/>
          <w:b/>
          <w:sz w:val="28"/>
          <w:szCs w:val="24"/>
        </w:rPr>
      </w:pPr>
      <w:r>
        <w:rPr>
          <w:rFonts w:ascii="Times New Roman" w:hAnsi="Times New Roman" w:eastAsia="仿宋" w:cs="Times New Roman"/>
          <w:b/>
          <w:sz w:val="28"/>
          <w:szCs w:val="24"/>
        </w:rPr>
        <w:t>（七）评审争议的规则处理</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1.评标委员会在评标过程中，对于符合性审查、对供应商投标文件做无效投标处理及其他需要共同认定的事项存在争议的，应当以少数服从多数的原则做出结论，但不得违背法律法规和招标文件规定。</w:t>
      </w:r>
    </w:p>
    <w:p>
      <w:pPr>
        <w:spacing w:line="52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2.评标委员会成员对评标报告有异议的，应当在评标报告上签署不同意见，并说明理由，否则视为同意评审报告。</w:t>
      </w: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4"/>
        </w:rPr>
        <w:t>四</w:t>
      </w:r>
      <w:r>
        <w:rPr>
          <w:rFonts w:ascii="Times New Roman" w:hAnsi="Times New Roman" w:eastAsia="仿宋" w:cs="Times New Roman"/>
          <w:b/>
          <w:sz w:val="28"/>
          <w:szCs w:val="28"/>
        </w:rPr>
        <w:t>、废标</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（一）出现下列情形之一的，应予以废标：</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1.符合专业条件的供应商或者对招标文件作实质响应的供应商不足3家的；</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2.出现影响采购公正的违法、违规行为的；</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3.投标人的报价均超过了采购预算，采购人不能支付的；</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4.因重大变故，采购任务取消的。</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废标后，招标采购单位将在指定媒体及时公告废标理由。</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（二）评标委员会应当对废标项目的招标文件是否存在倾向性和歧视性、是否存在不合理条款进行论证，并出具书面论证意见。</w:t>
      </w: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五、确定中标人</w:t>
      </w: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（一）工作原则</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1.采购人在评标报告确定的中标候选人名单中按顺序确定中标人。</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2.拟确定中标人的候选名次存在并列情形的，由采购人采取随机抽取的方式确定。</w:t>
      </w: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（二）工作程序</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w:t>
      </w:r>
      <w:r>
        <w:rPr>
          <w:rFonts w:hint="eastAsia" w:ascii="Times New Roman" w:hAnsi="Times New Roman" w:eastAsia="仿宋" w:cs="Times New Roman"/>
          <w:sz w:val="28"/>
          <w:szCs w:val="28"/>
          <w:lang w:val="en-US" w:eastAsia="zh-CN"/>
        </w:rPr>
        <w:t>采购人</w:t>
      </w:r>
      <w:r>
        <w:rPr>
          <w:rFonts w:ascii="Times New Roman" w:hAnsi="Times New Roman" w:eastAsia="仿宋" w:cs="Times New Roman"/>
          <w:sz w:val="28"/>
          <w:szCs w:val="28"/>
        </w:rPr>
        <w:t>在评标结束后2个工作日内，按照在评标报告确定的中标候选人名单中按顺序确定中标人，并向</w:t>
      </w:r>
      <w:r>
        <w:rPr>
          <w:rFonts w:hint="eastAsia" w:ascii="Times New Roman" w:hAnsi="Times New Roman" w:eastAsia="仿宋" w:cs="Times New Roman"/>
          <w:sz w:val="28"/>
          <w:szCs w:val="28"/>
          <w:lang w:val="en-US" w:eastAsia="zh-CN"/>
        </w:rPr>
        <w:t>中标人</w:t>
      </w:r>
      <w:r>
        <w:rPr>
          <w:rFonts w:ascii="Times New Roman" w:hAnsi="Times New Roman" w:eastAsia="仿宋" w:cs="Times New Roman"/>
          <w:sz w:val="28"/>
          <w:szCs w:val="28"/>
        </w:rPr>
        <w:t>发出《中标通知书》。</w:t>
      </w: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六、评标专家在政府采购活动中应承担的义务</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（一）遵纪守法，按照客观、公正、审慎的原则，根据采购文件规定的评审程序、评审方法和评审标准进行独立评审。</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（二）保守秘密。不得透露采购文件咨询情况，不得泄漏供应商的投标文件及知悉的商业秘密，不得向供应商透露评审情况。</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（三）发现供应商在政府采购活动中有不正当竞争或恶意串通等违规行为，将有关供应商的投标作无效处理并及时向政府采购评审工作的组织者或财政部门报告。</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（四）发现采购人及其工作人员在政府采购活动中有干预评审、发表倾向性和歧视性言论、受贿或者接受供应商的其他好处及其他违法违规行为，及时向财政部门报告。</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（五）配合答复处理供应商的询问、质疑和投诉等事项。</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（六）法律、法规和规章规定的其他义务。</w:t>
      </w:r>
    </w:p>
    <w:p>
      <w:pPr>
        <w:spacing w:line="520" w:lineRule="exact"/>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七、评审专家在政府采购活动中应当遵守的规定</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（一）遵守《政府采购法》第十二条和《政府采购法实施条例》第九条及财政部关于回避的规定。</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（二）评标前，应当将通讯工具或者相关电子设备交由招标采购单位统一保管。</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（三）评标过程中，不得与外界联系，因发生不可预见情况，确实需要与外界联系的，应当在监督人员监督之下办理。</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（五）在评标过程中和评标结束后，不得记录、复制或带走任何评标资料，除因规定的义务外，不得向外界透露评标内容。</w:t>
      </w:r>
    </w:p>
    <w:p>
      <w:pPr>
        <w:spacing w:line="52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（六）服从评标现场招标采购单位的现场秩序管理，接受评标现场监督人员的合法监督。</w:t>
      </w:r>
    </w:p>
    <w:p>
      <w:pPr>
        <w:spacing w:line="520" w:lineRule="exact"/>
        <w:ind w:firstLine="560" w:firstLineChars="200"/>
        <w:rPr>
          <w:rFonts w:ascii="Times New Roman" w:hAnsi="Times New Roman" w:eastAsia="仿宋" w:cs="Times New Roman"/>
          <w:sz w:val="27"/>
        </w:rPr>
      </w:pPr>
      <w:r>
        <w:rPr>
          <w:rFonts w:ascii="Times New Roman" w:hAnsi="Times New Roman" w:eastAsia="仿宋" w:cs="Times New Roman"/>
          <w:sz w:val="28"/>
          <w:szCs w:val="28"/>
        </w:rPr>
        <w:t>（七）遵守有关廉洁自律规定，不得私下接触供应商，不得收受供应商及有关业务单位和个人的财物或好处，不得接受招标采购单位的请托。</w:t>
      </w:r>
    </w:p>
    <w:p>
      <w:pPr>
        <w:spacing w:line="360" w:lineRule="auto"/>
        <w:rPr>
          <w:rFonts w:ascii="Times New Roman" w:hAnsi="Times New Roman" w:cs="Times New Roman"/>
          <w:sz w:val="27"/>
        </w:rPr>
      </w:pPr>
      <w:r>
        <w:rPr>
          <w:rFonts w:ascii="Times New Roman" w:hAnsi="Times New Roman" w:cs="Times New Roman"/>
        </w:rPr>
        <w:br w:type="page"/>
      </w:r>
    </w:p>
    <w:p>
      <w:pPr>
        <w:widowControl/>
        <w:jc w:val="center"/>
        <w:outlineLvl w:val="0"/>
        <w:rPr>
          <w:rFonts w:ascii="Times New Roman" w:hAnsi="Times New Roman" w:eastAsia="黑体" w:cs="Times New Roman"/>
          <w:bCs/>
          <w:sz w:val="36"/>
          <w:szCs w:val="32"/>
        </w:rPr>
      </w:pPr>
      <w:bookmarkStart w:id="22" w:name="_Toc20234165"/>
      <w:r>
        <w:rPr>
          <w:rFonts w:ascii="Times New Roman" w:hAnsi="Times New Roman" w:eastAsia="黑体" w:cs="Times New Roman"/>
          <w:bCs/>
          <w:sz w:val="36"/>
          <w:szCs w:val="32"/>
        </w:rPr>
        <w:t>第七章</w:t>
      </w:r>
      <w:r>
        <w:rPr>
          <w:rFonts w:ascii="Times New Roman" w:hAnsi="Times New Roman" w:eastAsia="黑体" w:cs="Times New Roman"/>
          <w:bCs/>
          <w:sz w:val="36"/>
          <w:szCs w:val="32"/>
        </w:rPr>
        <w:tab/>
      </w:r>
      <w:r>
        <w:rPr>
          <w:rFonts w:ascii="Times New Roman" w:hAnsi="Times New Roman" w:eastAsia="黑体" w:cs="Times New Roman"/>
          <w:bCs/>
          <w:sz w:val="36"/>
          <w:szCs w:val="32"/>
        </w:rPr>
        <w:t>合同主要条款</w:t>
      </w:r>
      <w:bookmarkEnd w:id="22"/>
    </w:p>
    <w:p>
      <w:pPr>
        <w:spacing w:line="480" w:lineRule="exact"/>
        <w:rPr>
          <w:rFonts w:ascii="Times New Roman" w:hAnsi="Times New Roman" w:eastAsia="仿宋" w:cs="Times New Roman"/>
          <w:sz w:val="28"/>
          <w:szCs w:val="24"/>
        </w:rPr>
      </w:pPr>
    </w:p>
    <w:p>
      <w:pPr>
        <w:spacing w:line="480" w:lineRule="exact"/>
        <w:rPr>
          <w:rFonts w:ascii="Times New Roman" w:hAnsi="Times New Roman" w:eastAsia="仿宋" w:cs="Times New Roman"/>
          <w:sz w:val="28"/>
          <w:szCs w:val="24"/>
        </w:rPr>
      </w:pPr>
      <w:r>
        <w:rPr>
          <w:rFonts w:ascii="Times New Roman" w:hAnsi="Times New Roman" w:eastAsia="仿宋" w:cs="Times New Roman"/>
          <w:sz w:val="28"/>
          <w:szCs w:val="24"/>
        </w:rPr>
        <w:t>合同编号：</w:t>
      </w:r>
    </w:p>
    <w:p>
      <w:pPr>
        <w:spacing w:line="480" w:lineRule="exact"/>
        <w:rPr>
          <w:rFonts w:ascii="Times New Roman" w:hAnsi="Times New Roman" w:eastAsia="仿宋" w:cs="Times New Roman"/>
          <w:sz w:val="28"/>
          <w:szCs w:val="24"/>
        </w:rPr>
      </w:pPr>
      <w:r>
        <w:rPr>
          <w:rFonts w:ascii="Times New Roman" w:hAnsi="Times New Roman" w:eastAsia="仿宋" w:cs="Times New Roman"/>
          <w:sz w:val="28"/>
          <w:szCs w:val="24"/>
        </w:rPr>
        <w:t>签订地点：</w:t>
      </w:r>
    </w:p>
    <w:p>
      <w:pPr>
        <w:spacing w:line="480" w:lineRule="exact"/>
        <w:rPr>
          <w:rFonts w:ascii="Times New Roman" w:hAnsi="Times New Roman" w:eastAsia="仿宋" w:cs="Times New Roman"/>
          <w:sz w:val="28"/>
          <w:szCs w:val="24"/>
        </w:rPr>
      </w:pPr>
      <w:r>
        <w:rPr>
          <w:rFonts w:ascii="Times New Roman" w:hAnsi="Times New Roman" w:eastAsia="仿宋" w:cs="Times New Roman"/>
          <w:sz w:val="28"/>
          <w:szCs w:val="24"/>
        </w:rPr>
        <w:t>签订时间：  年  月  日。</w:t>
      </w:r>
    </w:p>
    <w:p>
      <w:pPr>
        <w:spacing w:line="480" w:lineRule="exact"/>
        <w:rPr>
          <w:rFonts w:ascii="Times New Roman" w:hAnsi="Times New Roman" w:eastAsia="仿宋" w:cs="Times New Roman"/>
          <w:sz w:val="28"/>
          <w:szCs w:val="24"/>
        </w:rPr>
      </w:pPr>
      <w:r>
        <w:rPr>
          <w:rFonts w:ascii="Times New Roman" w:hAnsi="Times New Roman" w:eastAsia="仿宋" w:cs="Times New Roman"/>
          <w:sz w:val="28"/>
          <w:szCs w:val="24"/>
        </w:rPr>
        <w:t>采购人（甲方）：</w:t>
      </w:r>
    </w:p>
    <w:p>
      <w:pPr>
        <w:spacing w:line="480" w:lineRule="exact"/>
        <w:rPr>
          <w:rFonts w:ascii="Times New Roman" w:hAnsi="Times New Roman" w:eastAsia="仿宋" w:cs="Times New Roman"/>
          <w:sz w:val="28"/>
          <w:szCs w:val="24"/>
        </w:rPr>
      </w:pPr>
      <w:r>
        <w:rPr>
          <w:rFonts w:ascii="Times New Roman" w:hAnsi="Times New Roman" w:eastAsia="仿宋" w:cs="Times New Roman"/>
          <w:sz w:val="28"/>
          <w:szCs w:val="24"/>
        </w:rPr>
        <w:t>供应商（乙方）：</w:t>
      </w:r>
    </w:p>
    <w:p>
      <w:pPr>
        <w:spacing w:line="480" w:lineRule="exact"/>
        <w:rPr>
          <w:rFonts w:ascii="Times New Roman" w:hAnsi="Times New Roman" w:eastAsia="仿宋" w:cs="Times New Roman"/>
          <w:sz w:val="28"/>
          <w:szCs w:val="24"/>
        </w:rPr>
      </w:pP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根据《中华人民共和国政府采购法》、《中华人民共和国合同法》及____采购项目（项目编号：XX）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spacing w:line="480" w:lineRule="exact"/>
        <w:ind w:firstLine="560" w:firstLineChars="200"/>
        <w:rPr>
          <w:rFonts w:ascii="Times New Roman" w:hAnsi="Times New Roman" w:eastAsia="仿宋" w:cs="Times New Roman"/>
          <w:sz w:val="28"/>
          <w:szCs w:val="24"/>
        </w:rPr>
      </w:pPr>
    </w:p>
    <w:p>
      <w:pPr>
        <w:spacing w:line="480" w:lineRule="exact"/>
        <w:ind w:firstLine="562" w:firstLineChars="200"/>
        <w:rPr>
          <w:rFonts w:ascii="Times New Roman" w:hAnsi="Times New Roman" w:eastAsia="仿宋" w:cs="Times New Roman"/>
          <w:b/>
          <w:sz w:val="28"/>
          <w:szCs w:val="24"/>
        </w:rPr>
      </w:pPr>
      <w:r>
        <w:rPr>
          <w:rFonts w:ascii="Times New Roman" w:hAnsi="Times New Roman" w:eastAsia="仿宋" w:cs="Times New Roman"/>
          <w:b/>
          <w:sz w:val="28"/>
          <w:szCs w:val="24"/>
        </w:rPr>
        <w:t>一、合同货物</w:t>
      </w:r>
    </w:p>
    <w:tbl>
      <w:tblPr>
        <w:tblStyle w:val="16"/>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2633"/>
        <w:gridCol w:w="1557"/>
        <w:gridCol w:w="1241"/>
        <w:gridCol w:w="1004"/>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blHeader/>
        </w:trPr>
        <w:tc>
          <w:tcPr>
            <w:tcW w:w="877" w:type="dxa"/>
            <w:vAlign w:val="center"/>
          </w:tcPr>
          <w:p>
            <w:pPr>
              <w:spacing w:line="432" w:lineRule="auto"/>
              <w:jc w:val="center"/>
              <w:rPr>
                <w:rFonts w:ascii="Times New Roman" w:hAnsi="Times New Roman" w:eastAsia="仿宋" w:cs="Times New Roman"/>
                <w:b/>
                <w:sz w:val="24"/>
                <w:szCs w:val="24"/>
              </w:rPr>
            </w:pPr>
            <w:r>
              <w:rPr>
                <w:rFonts w:ascii="Times New Roman" w:hAnsi="Times New Roman" w:eastAsia="仿宋" w:cs="Times New Roman"/>
                <w:b/>
                <w:sz w:val="24"/>
                <w:szCs w:val="24"/>
              </w:rPr>
              <w:t>序号</w:t>
            </w:r>
          </w:p>
        </w:tc>
        <w:tc>
          <w:tcPr>
            <w:tcW w:w="2633" w:type="dxa"/>
            <w:vAlign w:val="center"/>
          </w:tcPr>
          <w:p>
            <w:pPr>
              <w:spacing w:line="432" w:lineRule="auto"/>
              <w:jc w:val="center"/>
              <w:rPr>
                <w:rFonts w:ascii="Times New Roman" w:hAnsi="Times New Roman" w:eastAsia="仿宋" w:cs="Times New Roman"/>
                <w:b/>
                <w:sz w:val="24"/>
                <w:szCs w:val="24"/>
              </w:rPr>
            </w:pPr>
            <w:r>
              <w:rPr>
                <w:rFonts w:ascii="Times New Roman" w:hAnsi="Times New Roman" w:eastAsia="仿宋" w:cs="Times New Roman"/>
                <w:b/>
                <w:sz w:val="24"/>
                <w:szCs w:val="24"/>
              </w:rPr>
              <w:t>采购内容</w:t>
            </w:r>
          </w:p>
        </w:tc>
        <w:tc>
          <w:tcPr>
            <w:tcW w:w="1557" w:type="dxa"/>
          </w:tcPr>
          <w:p>
            <w:pPr>
              <w:spacing w:line="432" w:lineRule="auto"/>
              <w:jc w:val="center"/>
              <w:rPr>
                <w:rFonts w:ascii="Times New Roman" w:hAnsi="Times New Roman" w:eastAsia="仿宋" w:cs="Times New Roman"/>
                <w:b/>
                <w:sz w:val="24"/>
                <w:szCs w:val="24"/>
              </w:rPr>
            </w:pPr>
            <w:r>
              <w:rPr>
                <w:rFonts w:ascii="Times New Roman" w:hAnsi="Times New Roman" w:eastAsia="仿宋" w:cs="Times New Roman"/>
                <w:b/>
                <w:sz w:val="24"/>
                <w:szCs w:val="24"/>
              </w:rPr>
              <w:t>品牌、型号</w:t>
            </w:r>
          </w:p>
        </w:tc>
        <w:tc>
          <w:tcPr>
            <w:tcW w:w="1241" w:type="dxa"/>
            <w:vAlign w:val="center"/>
          </w:tcPr>
          <w:p>
            <w:pPr>
              <w:spacing w:line="432" w:lineRule="auto"/>
              <w:jc w:val="center"/>
              <w:rPr>
                <w:rFonts w:ascii="Times New Roman" w:hAnsi="Times New Roman" w:eastAsia="仿宋" w:cs="Times New Roman"/>
                <w:b/>
                <w:sz w:val="24"/>
                <w:szCs w:val="24"/>
              </w:rPr>
            </w:pPr>
            <w:r>
              <w:rPr>
                <w:rFonts w:ascii="Times New Roman" w:hAnsi="Times New Roman" w:eastAsia="仿宋" w:cs="Times New Roman"/>
                <w:b/>
                <w:sz w:val="24"/>
                <w:szCs w:val="24"/>
              </w:rPr>
              <w:t>单价</w:t>
            </w:r>
          </w:p>
        </w:tc>
        <w:tc>
          <w:tcPr>
            <w:tcW w:w="1004" w:type="dxa"/>
            <w:vAlign w:val="center"/>
          </w:tcPr>
          <w:p>
            <w:pPr>
              <w:spacing w:line="432" w:lineRule="auto"/>
              <w:jc w:val="center"/>
              <w:rPr>
                <w:rFonts w:ascii="Times New Roman" w:hAnsi="Times New Roman" w:eastAsia="仿宋" w:cs="Times New Roman"/>
                <w:b/>
                <w:sz w:val="24"/>
                <w:szCs w:val="24"/>
              </w:rPr>
            </w:pPr>
            <w:r>
              <w:rPr>
                <w:rFonts w:ascii="Times New Roman" w:hAnsi="Times New Roman" w:eastAsia="仿宋" w:cs="Times New Roman"/>
                <w:b/>
                <w:sz w:val="24"/>
                <w:szCs w:val="24"/>
              </w:rPr>
              <w:t>数量</w:t>
            </w:r>
          </w:p>
        </w:tc>
        <w:tc>
          <w:tcPr>
            <w:tcW w:w="1974" w:type="dxa"/>
            <w:vAlign w:val="center"/>
          </w:tcPr>
          <w:p>
            <w:pPr>
              <w:spacing w:line="432" w:lineRule="auto"/>
              <w:jc w:val="center"/>
              <w:rPr>
                <w:rFonts w:ascii="Times New Roman" w:hAnsi="Times New Roman" w:eastAsia="仿宋" w:cs="Times New Roman"/>
                <w:b/>
                <w:sz w:val="24"/>
                <w:szCs w:val="24"/>
              </w:rPr>
            </w:pPr>
            <w:r>
              <w:rPr>
                <w:rFonts w:ascii="Times New Roman" w:hAnsi="Times New Roman" w:eastAsia="仿宋" w:cs="Times New Roman"/>
                <w:b/>
                <w:sz w:val="24"/>
                <w:szCs w:val="24"/>
              </w:rPr>
              <w:t>分项价格汇总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blHeader/>
        </w:trPr>
        <w:tc>
          <w:tcPr>
            <w:tcW w:w="877" w:type="dxa"/>
            <w:vAlign w:val="center"/>
          </w:tcPr>
          <w:p>
            <w:pPr>
              <w:spacing w:line="432" w:lineRule="auto"/>
              <w:jc w:val="center"/>
              <w:rPr>
                <w:rFonts w:ascii="Times New Roman" w:hAnsi="Times New Roman" w:eastAsia="仿宋" w:cs="Times New Roman"/>
                <w:b/>
                <w:sz w:val="24"/>
                <w:szCs w:val="24"/>
              </w:rPr>
            </w:pPr>
          </w:p>
        </w:tc>
        <w:tc>
          <w:tcPr>
            <w:tcW w:w="2633" w:type="dxa"/>
            <w:vAlign w:val="center"/>
          </w:tcPr>
          <w:p>
            <w:pPr>
              <w:spacing w:line="432" w:lineRule="auto"/>
              <w:jc w:val="center"/>
              <w:rPr>
                <w:rFonts w:ascii="Times New Roman" w:hAnsi="Times New Roman" w:eastAsia="仿宋" w:cs="Times New Roman"/>
                <w:b/>
                <w:sz w:val="24"/>
                <w:szCs w:val="24"/>
              </w:rPr>
            </w:pPr>
          </w:p>
        </w:tc>
        <w:tc>
          <w:tcPr>
            <w:tcW w:w="1557" w:type="dxa"/>
          </w:tcPr>
          <w:p>
            <w:pPr>
              <w:spacing w:line="432" w:lineRule="auto"/>
              <w:jc w:val="center"/>
              <w:rPr>
                <w:rFonts w:ascii="Times New Roman" w:hAnsi="Times New Roman" w:eastAsia="仿宋" w:cs="Times New Roman"/>
                <w:b/>
                <w:sz w:val="24"/>
                <w:szCs w:val="24"/>
              </w:rPr>
            </w:pPr>
          </w:p>
        </w:tc>
        <w:tc>
          <w:tcPr>
            <w:tcW w:w="1241" w:type="dxa"/>
            <w:vAlign w:val="center"/>
          </w:tcPr>
          <w:p>
            <w:pPr>
              <w:spacing w:line="432" w:lineRule="auto"/>
              <w:jc w:val="center"/>
              <w:rPr>
                <w:rFonts w:ascii="Times New Roman" w:hAnsi="Times New Roman" w:eastAsia="仿宋" w:cs="Times New Roman"/>
                <w:b/>
                <w:sz w:val="24"/>
                <w:szCs w:val="24"/>
              </w:rPr>
            </w:pPr>
          </w:p>
        </w:tc>
        <w:tc>
          <w:tcPr>
            <w:tcW w:w="1004" w:type="dxa"/>
            <w:vAlign w:val="center"/>
          </w:tcPr>
          <w:p>
            <w:pPr>
              <w:spacing w:line="432" w:lineRule="auto"/>
              <w:jc w:val="center"/>
              <w:rPr>
                <w:rFonts w:ascii="Times New Roman" w:hAnsi="Times New Roman" w:eastAsia="仿宋" w:cs="Times New Roman"/>
                <w:b/>
                <w:sz w:val="24"/>
                <w:szCs w:val="24"/>
              </w:rPr>
            </w:pPr>
          </w:p>
        </w:tc>
        <w:tc>
          <w:tcPr>
            <w:tcW w:w="1974" w:type="dxa"/>
            <w:vAlign w:val="center"/>
          </w:tcPr>
          <w:p>
            <w:pPr>
              <w:spacing w:line="432" w:lineRule="auto"/>
              <w:jc w:val="center"/>
              <w:rPr>
                <w:rFonts w:ascii="Times New Roman" w:hAnsi="Times New Roman" w:eastAsia="仿宋" w:cs="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blHeader/>
        </w:trPr>
        <w:tc>
          <w:tcPr>
            <w:tcW w:w="877" w:type="dxa"/>
            <w:vAlign w:val="center"/>
          </w:tcPr>
          <w:p>
            <w:pPr>
              <w:spacing w:line="432" w:lineRule="auto"/>
              <w:jc w:val="center"/>
              <w:rPr>
                <w:rFonts w:ascii="Times New Roman" w:hAnsi="Times New Roman" w:eastAsia="仿宋" w:cs="Times New Roman"/>
                <w:b/>
                <w:sz w:val="24"/>
                <w:szCs w:val="24"/>
              </w:rPr>
            </w:pPr>
          </w:p>
        </w:tc>
        <w:tc>
          <w:tcPr>
            <w:tcW w:w="2633" w:type="dxa"/>
            <w:vAlign w:val="center"/>
          </w:tcPr>
          <w:p>
            <w:pPr>
              <w:spacing w:line="432" w:lineRule="auto"/>
              <w:jc w:val="center"/>
              <w:rPr>
                <w:rFonts w:ascii="Times New Roman" w:hAnsi="Times New Roman" w:eastAsia="仿宋" w:cs="Times New Roman"/>
                <w:b/>
                <w:sz w:val="24"/>
                <w:szCs w:val="24"/>
              </w:rPr>
            </w:pPr>
          </w:p>
        </w:tc>
        <w:tc>
          <w:tcPr>
            <w:tcW w:w="1557" w:type="dxa"/>
          </w:tcPr>
          <w:p>
            <w:pPr>
              <w:spacing w:line="432" w:lineRule="auto"/>
              <w:jc w:val="center"/>
              <w:rPr>
                <w:rFonts w:ascii="Times New Roman" w:hAnsi="Times New Roman" w:eastAsia="仿宋" w:cs="Times New Roman"/>
                <w:b/>
                <w:sz w:val="24"/>
                <w:szCs w:val="24"/>
              </w:rPr>
            </w:pPr>
          </w:p>
        </w:tc>
        <w:tc>
          <w:tcPr>
            <w:tcW w:w="1241" w:type="dxa"/>
            <w:vAlign w:val="center"/>
          </w:tcPr>
          <w:p>
            <w:pPr>
              <w:spacing w:line="432" w:lineRule="auto"/>
              <w:jc w:val="center"/>
              <w:rPr>
                <w:rFonts w:ascii="Times New Roman" w:hAnsi="Times New Roman" w:eastAsia="仿宋" w:cs="Times New Roman"/>
                <w:b/>
                <w:sz w:val="24"/>
                <w:szCs w:val="24"/>
              </w:rPr>
            </w:pPr>
          </w:p>
        </w:tc>
        <w:tc>
          <w:tcPr>
            <w:tcW w:w="1004" w:type="dxa"/>
            <w:vAlign w:val="center"/>
          </w:tcPr>
          <w:p>
            <w:pPr>
              <w:spacing w:line="432" w:lineRule="auto"/>
              <w:jc w:val="center"/>
              <w:rPr>
                <w:rFonts w:ascii="Times New Roman" w:hAnsi="Times New Roman" w:eastAsia="仿宋" w:cs="Times New Roman"/>
                <w:b/>
                <w:sz w:val="24"/>
                <w:szCs w:val="24"/>
              </w:rPr>
            </w:pPr>
          </w:p>
        </w:tc>
        <w:tc>
          <w:tcPr>
            <w:tcW w:w="1974" w:type="dxa"/>
            <w:vAlign w:val="center"/>
          </w:tcPr>
          <w:p>
            <w:pPr>
              <w:spacing w:line="432" w:lineRule="auto"/>
              <w:jc w:val="center"/>
              <w:rPr>
                <w:rFonts w:ascii="Times New Roman" w:hAnsi="Times New Roman" w:eastAsia="仿宋" w:cs="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blHeader/>
        </w:trPr>
        <w:tc>
          <w:tcPr>
            <w:tcW w:w="877" w:type="dxa"/>
            <w:vAlign w:val="center"/>
          </w:tcPr>
          <w:p>
            <w:pPr>
              <w:spacing w:line="432" w:lineRule="auto"/>
              <w:jc w:val="center"/>
              <w:rPr>
                <w:rFonts w:ascii="Times New Roman" w:hAnsi="Times New Roman" w:eastAsia="仿宋" w:cs="Times New Roman"/>
                <w:b/>
                <w:sz w:val="24"/>
                <w:szCs w:val="24"/>
              </w:rPr>
            </w:pPr>
          </w:p>
        </w:tc>
        <w:tc>
          <w:tcPr>
            <w:tcW w:w="2633" w:type="dxa"/>
            <w:vAlign w:val="center"/>
          </w:tcPr>
          <w:p>
            <w:pPr>
              <w:spacing w:line="432" w:lineRule="auto"/>
              <w:jc w:val="center"/>
              <w:rPr>
                <w:rFonts w:ascii="Times New Roman" w:hAnsi="Times New Roman" w:eastAsia="仿宋" w:cs="Times New Roman"/>
                <w:b/>
                <w:sz w:val="24"/>
                <w:szCs w:val="24"/>
              </w:rPr>
            </w:pPr>
          </w:p>
        </w:tc>
        <w:tc>
          <w:tcPr>
            <w:tcW w:w="1557" w:type="dxa"/>
          </w:tcPr>
          <w:p>
            <w:pPr>
              <w:spacing w:line="432" w:lineRule="auto"/>
              <w:jc w:val="center"/>
              <w:rPr>
                <w:rFonts w:ascii="Times New Roman" w:hAnsi="Times New Roman" w:eastAsia="仿宋" w:cs="Times New Roman"/>
                <w:b/>
                <w:sz w:val="24"/>
                <w:szCs w:val="24"/>
              </w:rPr>
            </w:pPr>
          </w:p>
        </w:tc>
        <w:tc>
          <w:tcPr>
            <w:tcW w:w="1241" w:type="dxa"/>
            <w:vAlign w:val="center"/>
          </w:tcPr>
          <w:p>
            <w:pPr>
              <w:spacing w:line="432" w:lineRule="auto"/>
              <w:jc w:val="center"/>
              <w:rPr>
                <w:rFonts w:ascii="Times New Roman" w:hAnsi="Times New Roman" w:eastAsia="仿宋" w:cs="Times New Roman"/>
                <w:b/>
                <w:sz w:val="24"/>
                <w:szCs w:val="24"/>
              </w:rPr>
            </w:pPr>
          </w:p>
        </w:tc>
        <w:tc>
          <w:tcPr>
            <w:tcW w:w="1004" w:type="dxa"/>
            <w:vAlign w:val="center"/>
          </w:tcPr>
          <w:p>
            <w:pPr>
              <w:spacing w:line="432" w:lineRule="auto"/>
              <w:jc w:val="center"/>
              <w:rPr>
                <w:rFonts w:ascii="Times New Roman" w:hAnsi="Times New Roman" w:eastAsia="仿宋" w:cs="Times New Roman"/>
                <w:b/>
                <w:sz w:val="24"/>
                <w:szCs w:val="24"/>
              </w:rPr>
            </w:pPr>
          </w:p>
        </w:tc>
        <w:tc>
          <w:tcPr>
            <w:tcW w:w="1974" w:type="dxa"/>
            <w:vAlign w:val="center"/>
          </w:tcPr>
          <w:p>
            <w:pPr>
              <w:spacing w:line="432" w:lineRule="auto"/>
              <w:jc w:val="center"/>
              <w:rPr>
                <w:rFonts w:ascii="Times New Roman" w:hAnsi="Times New Roman" w:eastAsia="仿宋" w:cs="Times New Roman"/>
                <w:b/>
                <w:sz w:val="24"/>
                <w:szCs w:val="24"/>
              </w:rPr>
            </w:pPr>
          </w:p>
        </w:tc>
      </w:tr>
    </w:tbl>
    <w:p>
      <w:pPr>
        <w:spacing w:line="480" w:lineRule="exact"/>
        <w:ind w:firstLine="562" w:firstLineChars="200"/>
        <w:rPr>
          <w:rFonts w:ascii="Times New Roman" w:hAnsi="Times New Roman" w:eastAsia="仿宋" w:cs="Times New Roman"/>
          <w:b/>
          <w:sz w:val="28"/>
          <w:szCs w:val="24"/>
        </w:rPr>
      </w:pPr>
    </w:p>
    <w:p>
      <w:pPr>
        <w:spacing w:line="480" w:lineRule="exact"/>
        <w:ind w:firstLine="562" w:firstLineChars="200"/>
        <w:rPr>
          <w:rFonts w:ascii="Times New Roman" w:hAnsi="Times New Roman" w:eastAsia="仿宋" w:cs="Times New Roman"/>
          <w:b/>
          <w:sz w:val="28"/>
          <w:szCs w:val="24"/>
        </w:rPr>
      </w:pPr>
      <w:r>
        <w:rPr>
          <w:rFonts w:ascii="Times New Roman" w:hAnsi="Times New Roman" w:eastAsia="仿宋" w:cs="Times New Roman"/>
          <w:b/>
          <w:sz w:val="28"/>
          <w:szCs w:val="24"/>
        </w:rPr>
        <w:t>二、合同总价</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合同总价为人民币______元（大写：_________），即；该合同总价已包括设备、物流、保险、劳务、安装、调试、培训、服务、税费等和招标文件规定的其它费用，即包干价。</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本合同执行期间合同总价不变，甲方无须另向乙方支付本合同规定之外的其他任何费用。</w:t>
      </w:r>
    </w:p>
    <w:p>
      <w:pPr>
        <w:spacing w:line="480" w:lineRule="exact"/>
        <w:ind w:firstLine="562" w:firstLineChars="200"/>
        <w:rPr>
          <w:rFonts w:ascii="Times New Roman" w:hAnsi="Times New Roman" w:eastAsia="仿宋" w:cs="Times New Roman"/>
          <w:b/>
          <w:sz w:val="28"/>
          <w:szCs w:val="24"/>
        </w:rPr>
      </w:pPr>
      <w:r>
        <w:rPr>
          <w:rFonts w:ascii="Times New Roman" w:hAnsi="Times New Roman" w:eastAsia="仿宋" w:cs="Times New Roman"/>
          <w:b/>
          <w:sz w:val="28"/>
          <w:szCs w:val="24"/>
        </w:rPr>
        <w:t>三、质量要求</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（一）乙方应提供全新的货物（含零部件、配件等），表面无划伤、无碰撞痕迹，且权属清楚，不得侵害他人的知识产权。</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（二）货物应符合或优于国家、行业标准，以及本项目招标文件的质量要求和技术指标与出厂标准。</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（三）乙方交付的货物应与乙方在投标时提交的样品（若有）保持一致。</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（四）货物质量出现问题，乙方应负责三包（包修、包换、包退），费用由乙方负担。</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（五）货到现场后由于甲方保管不当造成的质量问题，乙方亦应负责修理，但费用由甲方负担。</w:t>
      </w:r>
    </w:p>
    <w:p>
      <w:pPr>
        <w:spacing w:line="480" w:lineRule="exact"/>
        <w:ind w:firstLine="562" w:firstLineChars="200"/>
        <w:rPr>
          <w:rFonts w:ascii="Times New Roman" w:hAnsi="Times New Roman" w:eastAsia="仿宋" w:cs="Times New Roman"/>
          <w:b/>
          <w:sz w:val="28"/>
          <w:szCs w:val="24"/>
        </w:rPr>
      </w:pPr>
      <w:r>
        <w:rPr>
          <w:rFonts w:ascii="Times New Roman" w:hAnsi="Times New Roman" w:eastAsia="仿宋" w:cs="Times New Roman"/>
          <w:b/>
          <w:sz w:val="28"/>
          <w:szCs w:val="24"/>
        </w:rPr>
        <w:t>四、交货及验收</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一）乙方交货期限为合同签订生效后的XX日内，在合同签订生效之日起XX天内交货到甲方指定地点，随即在XX日内全部完成安装调试验收合格交付使用，并且最迟应在XX年XX月XX日前全部完成安装调试验收合格交付使用（如由于采购人的原因造成合同延迟签订或验收的，时间顺延）。交货验收时应提供产品质检部门从同类产品中抽样检查合格的检测报告。</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（二）验收由甲方组织，乙方配合进行：</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1.货物在乙方通知安装调试完毕后日内初步验收。初步验收合格后，进入试用期；试用期间发生重大质量问题，修复后试用相应顺延；试用期结束后日内完成最终验收；</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2.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3.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4.如质量验收合格，双方签署质量验收报告。</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（三）货物安装完成后日内，甲方无故不进行验收工作并已使用货物的，视同已安装调试完成并验收合格。</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（四）乙方应将所提供货物的装箱清单、配件、随机工具、用户使用手册、原厂保修卡等资料交付给甲方；乙方不能完整交付货物及本款规定的单证和工具的，应负责补齐，否则视为未按合同约定交货。</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（五）如货物经乙方2次维修仍不能达到合同约定的质量标准，甲方有权退货，并视作乙方不能交付货物，乙方应支付违约赔偿金给甲方，甲方还可依法追究乙方的违约责任。 </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（六）其他未尽事宜应严格按照《省财政厅关于加强政府采购项目履约验收工作的通知》（川财采〔2009〕30号）的要求进行。</w:t>
      </w:r>
    </w:p>
    <w:p>
      <w:pPr>
        <w:spacing w:line="480" w:lineRule="exact"/>
        <w:ind w:firstLine="562" w:firstLineChars="200"/>
        <w:rPr>
          <w:rFonts w:ascii="Times New Roman" w:hAnsi="Times New Roman" w:eastAsia="仿宋" w:cs="Times New Roman"/>
          <w:b/>
          <w:sz w:val="28"/>
          <w:szCs w:val="24"/>
        </w:rPr>
      </w:pPr>
      <w:r>
        <w:rPr>
          <w:rFonts w:ascii="Times New Roman" w:hAnsi="Times New Roman" w:eastAsia="仿宋" w:cs="Times New Roman"/>
          <w:b/>
          <w:sz w:val="28"/>
          <w:szCs w:val="24"/>
        </w:rPr>
        <w:t>五、付款方式</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（一）政府采购合同签订后，支付合同总价款的20%；</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（二）项目通过初步验收合格后，进入20日的试运行期，试运期无质量技术问题，由采购人在试运期届满之日起的7日内组织最终验收；</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（三）项目最终验收合格后，支付合同总价款的75%；</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（四）剩余5%转为质量保证金，1年后无息退还；</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（五）乙方应向甲方出具合法有效完整的完税发票及凭证资料进行支付结算；本项目未支付的合同价款不计利息。</w:t>
      </w:r>
    </w:p>
    <w:p>
      <w:pPr>
        <w:spacing w:line="480" w:lineRule="exact"/>
        <w:ind w:firstLine="562" w:firstLineChars="200"/>
        <w:rPr>
          <w:rFonts w:ascii="Times New Roman" w:hAnsi="Times New Roman" w:eastAsia="仿宋" w:cs="Times New Roman"/>
          <w:b/>
          <w:sz w:val="28"/>
          <w:szCs w:val="24"/>
        </w:rPr>
      </w:pPr>
      <w:r>
        <w:rPr>
          <w:rFonts w:ascii="Times New Roman" w:hAnsi="Times New Roman" w:eastAsia="仿宋" w:cs="Times New Roman"/>
          <w:b/>
          <w:sz w:val="28"/>
          <w:szCs w:val="24"/>
        </w:rPr>
        <w:t>六、售后服务</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（一）质保期为最终验收合格后</w:t>
      </w:r>
      <w:r>
        <w:rPr>
          <w:rFonts w:hint="eastAsia" w:ascii="Times New Roman" w:hAnsi="Times New Roman" w:eastAsia="仿宋" w:cs="Times New Roman"/>
          <w:sz w:val="28"/>
          <w:szCs w:val="24"/>
          <w:u w:val="single"/>
          <w:lang w:val="en-US" w:eastAsia="zh-CN"/>
        </w:rPr>
        <w:t xml:space="preserve">  </w:t>
      </w:r>
      <w:r>
        <w:rPr>
          <w:rFonts w:ascii="Times New Roman" w:hAnsi="Times New Roman" w:eastAsia="仿宋" w:cs="Times New Roman"/>
          <w:sz w:val="28"/>
          <w:szCs w:val="24"/>
        </w:rPr>
        <w:t>年，质保期内出现质量问题，乙方在接到通知后__小时内响应到场，__小时内完成维修或更</w:t>
      </w:r>
      <w:bookmarkStart w:id="23" w:name="_GoBack"/>
      <w:bookmarkEnd w:id="23"/>
      <w:r>
        <w:rPr>
          <w:rFonts w:ascii="Times New Roman" w:hAnsi="Times New Roman" w:eastAsia="仿宋" w:cs="Times New Roman"/>
          <w:sz w:val="28"/>
          <w:szCs w:val="24"/>
        </w:rPr>
        <w:t>换，并承担修理调换的费用；如货物经乙方2次维修仍不能达到本合同约定的质量标准，视作乙方未能按时交货，甲方有权退货并追究乙方的违约责任。货到现场后由于甲方保管不当造成的问题，乙方亦应负责修复，但费用由甲方负担。</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（二）乙方应指派专人负责与甲方联系售后服务事宜。 </w:t>
      </w:r>
    </w:p>
    <w:p>
      <w:pPr>
        <w:spacing w:line="480" w:lineRule="exact"/>
        <w:ind w:firstLine="562" w:firstLineChars="200"/>
        <w:rPr>
          <w:rFonts w:ascii="Times New Roman" w:hAnsi="Times New Roman" w:eastAsia="仿宋" w:cs="Times New Roman"/>
          <w:b/>
          <w:sz w:val="28"/>
          <w:szCs w:val="24"/>
        </w:rPr>
      </w:pPr>
      <w:r>
        <w:rPr>
          <w:rFonts w:ascii="Times New Roman" w:hAnsi="Times New Roman" w:eastAsia="仿宋" w:cs="Times New Roman"/>
          <w:b/>
          <w:sz w:val="28"/>
          <w:szCs w:val="24"/>
        </w:rPr>
        <w:t>七、违约责任</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（一）甲方违约责任</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1.甲方无正当理由拒收货物的，甲方应偿付合同总价百分之__的违约金；</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2.甲方逾期支付合同价款的，除应及时付足合同价款外，应向乙方偿付欠款总额万分之__/天的违约金；逾期付款超过天的，乙方有权终止合同；</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3.甲方偿付的违约金不足以弥补乙方损失的，还应按乙方损失尚未弥补的部分，支付赔偿金给乙方。</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（二）乙方违约责任</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1.乙方交付的货物质量不符合合同规定的，乙方应向甲方支付合同总价的百分之的违约金，并应在合同规定的交货时间内更换合格的货物给甲方，否则，视作乙方不能交付货物而违约，按本条本款下述第“2”项规定由乙方偿付违约赔偿金给甲方。</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2.乙方不能交付货物或逾期交付货物而违约的，除应及时交足货物外，应向甲方偿付逾期交货部分合同价款总额的万分之__/天的违约金；逾期交货超过__天，甲方有权终止合同，乙方则应按合同总价的百分__之的款额向甲方偿付赔偿金，全额退还甲方已经付给乙方的合同价款及其利息。</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3.乙方货物经甲方送交具有法定资格条件的质量技术监督机构检测后，如检测结果认定货物质量不符合本合同规定标准的，则视为乙方没有按时交货而违约，乙方应在天内无条件更换合格的货物，如逾期不能更换合格的货物，甲方有权终止本合同，乙方应另付合同总价的百分之__的赔偿金给甲方。</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__向甲方支付违约金并赔偿因此给甲方造成的一切损失。</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5.乙方偿付的违约金不足以弥补甲方损失的，还应按甲方损失尚未弥补的部分，支付赔偿金给甲方。</w:t>
      </w:r>
    </w:p>
    <w:p>
      <w:pPr>
        <w:spacing w:line="480" w:lineRule="exact"/>
        <w:ind w:firstLine="562" w:firstLineChars="200"/>
        <w:rPr>
          <w:rFonts w:ascii="Times New Roman" w:hAnsi="Times New Roman" w:eastAsia="仿宋" w:cs="Times New Roman"/>
          <w:b/>
          <w:sz w:val="28"/>
          <w:szCs w:val="24"/>
        </w:rPr>
      </w:pPr>
      <w:r>
        <w:rPr>
          <w:rFonts w:ascii="Times New Roman" w:hAnsi="Times New Roman" w:eastAsia="仿宋" w:cs="Times New Roman"/>
          <w:b/>
          <w:sz w:val="28"/>
          <w:szCs w:val="24"/>
        </w:rPr>
        <w:t>八、争议解决办法</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（一）因货物的质量问题发生争议，由质量技术监督部门或其指定的质量鉴定机构进行质量鉴定。货物符合标准的，鉴定费由甲方承担；货物不符合质量标准的，鉴定费由乙方承担。</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（二）合同履行期间，若双方发生争议，可协商或由有关部门调解解决，协商或调解不成的，由当事人依法向巴中仲裁委员会提起仲裁，维护其合法权益。</w:t>
      </w:r>
    </w:p>
    <w:p>
      <w:pPr>
        <w:spacing w:line="480" w:lineRule="exact"/>
        <w:ind w:firstLine="562" w:firstLineChars="200"/>
        <w:rPr>
          <w:rFonts w:ascii="Times New Roman" w:hAnsi="Times New Roman" w:eastAsia="仿宋" w:cs="Times New Roman"/>
          <w:b/>
          <w:sz w:val="28"/>
          <w:szCs w:val="24"/>
        </w:rPr>
      </w:pPr>
      <w:r>
        <w:rPr>
          <w:rFonts w:ascii="Times New Roman" w:hAnsi="Times New Roman" w:eastAsia="仿宋" w:cs="Times New Roman"/>
          <w:b/>
          <w:sz w:val="28"/>
          <w:szCs w:val="24"/>
        </w:rPr>
        <w:t>九、其他</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（一）如有未尽事宜，由双方依法订立补充合同。</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（二）本合同一式</w:t>
      </w:r>
      <w:r>
        <w:rPr>
          <w:rFonts w:hint="eastAsia" w:ascii="Times New Roman" w:hAnsi="Times New Roman" w:eastAsia="仿宋" w:cs="Times New Roman"/>
          <w:sz w:val="28"/>
          <w:szCs w:val="24"/>
          <w:lang w:val="en-US" w:eastAsia="zh-CN"/>
        </w:rPr>
        <w:t>四</w:t>
      </w:r>
      <w:r>
        <w:rPr>
          <w:rFonts w:ascii="Times New Roman" w:hAnsi="Times New Roman" w:eastAsia="仿宋" w:cs="Times New Roman"/>
          <w:sz w:val="28"/>
          <w:szCs w:val="24"/>
        </w:rPr>
        <w:t>份，自双方签章之日起生效。甲方</w:t>
      </w:r>
      <w:r>
        <w:rPr>
          <w:rFonts w:hint="eastAsia" w:ascii="Times New Roman" w:hAnsi="Times New Roman" w:eastAsia="仿宋" w:cs="Times New Roman"/>
          <w:sz w:val="28"/>
          <w:szCs w:val="24"/>
          <w:lang w:val="en-US" w:eastAsia="zh-CN"/>
        </w:rPr>
        <w:t>二</w:t>
      </w:r>
      <w:r>
        <w:rPr>
          <w:rFonts w:ascii="Times New Roman" w:hAnsi="Times New Roman" w:eastAsia="仿宋" w:cs="Times New Roman"/>
          <w:sz w:val="28"/>
          <w:szCs w:val="24"/>
        </w:rPr>
        <w:t>份，乙方</w:t>
      </w:r>
      <w:r>
        <w:rPr>
          <w:rFonts w:hint="eastAsia" w:ascii="Times New Roman" w:hAnsi="Times New Roman" w:eastAsia="仿宋" w:cs="Times New Roman"/>
          <w:sz w:val="28"/>
          <w:szCs w:val="24"/>
          <w:lang w:val="en-US" w:eastAsia="zh-CN"/>
        </w:rPr>
        <w:t>二</w:t>
      </w:r>
      <w:r>
        <w:rPr>
          <w:rFonts w:ascii="Times New Roman" w:hAnsi="Times New Roman" w:eastAsia="仿宋" w:cs="Times New Roman"/>
          <w:sz w:val="28"/>
          <w:szCs w:val="24"/>
        </w:rPr>
        <w:t>份。</w:t>
      </w:r>
    </w:p>
    <w:p>
      <w:pPr>
        <w:spacing w:line="480" w:lineRule="exact"/>
        <w:ind w:firstLine="560" w:firstLineChars="200"/>
        <w:rPr>
          <w:rFonts w:ascii="Times New Roman" w:hAnsi="Times New Roman" w:eastAsia="仿宋" w:cs="Times New Roman"/>
          <w:sz w:val="28"/>
          <w:szCs w:val="24"/>
        </w:rPr>
      </w:pPr>
    </w:p>
    <w:p>
      <w:pPr>
        <w:spacing w:line="480" w:lineRule="exact"/>
        <w:ind w:firstLine="560" w:firstLineChars="200"/>
        <w:rPr>
          <w:rFonts w:ascii="Times New Roman" w:hAnsi="Times New Roman" w:eastAsia="仿宋" w:cs="Times New Roman"/>
          <w:sz w:val="28"/>
          <w:szCs w:val="24"/>
        </w:rPr>
      </w:pPr>
    </w:p>
    <w:p>
      <w:pPr>
        <w:spacing w:line="480" w:lineRule="exact"/>
        <w:ind w:firstLine="560" w:firstLineChars="200"/>
        <w:rPr>
          <w:rFonts w:ascii="Times New Roman" w:hAnsi="Times New Roman" w:eastAsia="仿宋" w:cs="Times New Roman"/>
          <w:sz w:val="28"/>
          <w:szCs w:val="24"/>
        </w:rPr>
      </w:pP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甲方：                         乙方：</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（盖章）                       （盖章）</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法定代表人（授权代表）：        法定代表人（授权代表）：</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地址：                         地址：</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开户银行：                     开户银行：</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账号：                         账号：</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电话：                         电话：</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传真：                         传真：</w:t>
      </w:r>
    </w:p>
    <w:p>
      <w:pPr>
        <w:spacing w:line="480" w:lineRule="exact"/>
        <w:ind w:firstLine="560" w:firstLineChars="200"/>
        <w:rPr>
          <w:rFonts w:ascii="Times New Roman" w:hAnsi="Times New Roman" w:eastAsia="仿宋" w:cs="Times New Roman"/>
          <w:sz w:val="28"/>
          <w:szCs w:val="24"/>
        </w:rPr>
      </w:pPr>
      <w:r>
        <w:rPr>
          <w:rFonts w:ascii="Times New Roman" w:hAnsi="Times New Roman" w:eastAsia="仿宋" w:cs="Times New Roman"/>
          <w:sz w:val="28"/>
          <w:szCs w:val="24"/>
        </w:rPr>
        <w:t>签约日期：  年  月  日         签约日期：   年  月  日</w:t>
      </w:r>
    </w:p>
    <w:p>
      <w:pPr>
        <w:widowControl/>
        <w:jc w:val="left"/>
        <w:rPr>
          <w:rFonts w:ascii="Times New Roman" w:hAnsi="Times New Roman" w:eastAsia="仿宋" w:cs="Times New Roman"/>
          <w:sz w:val="28"/>
          <w:szCs w:val="24"/>
        </w:rPr>
      </w:pPr>
    </w:p>
    <w:sectPr>
      <w:headerReference r:id="rId4" w:type="default"/>
      <w:footerReference r:id="rId5" w:type="default"/>
      <w:pgSz w:w="11906" w:h="16838"/>
      <w:pgMar w:top="1440" w:right="1418" w:bottom="1440" w:left="141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简体">
    <w:altName w:val="黑体"/>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3888722"/>
      <w:docPartObj>
        <w:docPartGallery w:val="autotext"/>
      </w:docPartObj>
    </w:sdtPr>
    <w:sdtContent>
      <w:p>
        <w:pPr>
          <w:pStyle w:val="11"/>
          <w:jc w:val="center"/>
        </w:pPr>
        <w:r>
          <w:fldChar w:fldCharType="begin"/>
        </w:r>
        <w:r>
          <w:instrText xml:space="preserve">PAGE   \* MERGEFORMAT</w:instrText>
        </w:r>
        <w:r>
          <w:fldChar w:fldCharType="separate"/>
        </w:r>
        <w:r>
          <w:rPr>
            <w:lang w:val="zh-CN"/>
          </w:rPr>
          <w:t>33</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EFC384"/>
    <w:multiLevelType w:val="singleLevel"/>
    <w:tmpl w:val="81EFC384"/>
    <w:lvl w:ilvl="0" w:tentative="0">
      <w:start w:val="1"/>
      <w:numFmt w:val="decimal"/>
      <w:suff w:val="nothing"/>
      <w:lvlText w:val="（%1）"/>
      <w:lvlJc w:val="left"/>
    </w:lvl>
  </w:abstractNum>
  <w:abstractNum w:abstractNumId="1">
    <w:nsid w:val="00804F4D"/>
    <w:multiLevelType w:val="multilevel"/>
    <w:tmpl w:val="00804F4D"/>
    <w:lvl w:ilvl="0" w:tentative="0">
      <w:start w:val="1"/>
      <w:numFmt w:val="japaneseCounting"/>
      <w:lvlText w:val="%1、"/>
      <w:lvlJc w:val="left"/>
      <w:pPr>
        <w:ind w:left="1282" w:hanging="72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2">
    <w:nsid w:val="205A4B7E"/>
    <w:multiLevelType w:val="multilevel"/>
    <w:tmpl w:val="205A4B7E"/>
    <w:lvl w:ilvl="0" w:tentative="0">
      <w:start w:val="1"/>
      <w:numFmt w:val="decimal"/>
      <w:lvlText w:val="%1、"/>
      <w:lvlJc w:val="left"/>
      <w:pPr>
        <w:ind w:left="1146"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24644A0F"/>
    <w:multiLevelType w:val="multilevel"/>
    <w:tmpl w:val="24644A0F"/>
    <w:lvl w:ilvl="0" w:tentative="0">
      <w:start w:val="1"/>
      <w:numFmt w:val="decimal"/>
      <w:lvlText w:val="%1、"/>
      <w:lvlJc w:val="left"/>
      <w:pPr>
        <w:ind w:left="1146"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2AF7729F"/>
    <w:multiLevelType w:val="multilevel"/>
    <w:tmpl w:val="2AF7729F"/>
    <w:lvl w:ilvl="0" w:tentative="0">
      <w:start w:val="1"/>
      <w:numFmt w:val="decimal"/>
      <w:lvlText w:val="%1、"/>
      <w:lvlJc w:val="left"/>
      <w:pPr>
        <w:ind w:left="1146"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38F71FA0"/>
    <w:multiLevelType w:val="multilevel"/>
    <w:tmpl w:val="38F71FA0"/>
    <w:lvl w:ilvl="0" w:tentative="0">
      <w:start w:val="1"/>
      <w:numFmt w:val="decimal"/>
      <w:lvlText w:val="%1、"/>
      <w:lvlJc w:val="left"/>
      <w:pPr>
        <w:ind w:left="1146"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3C8325A1"/>
    <w:multiLevelType w:val="multilevel"/>
    <w:tmpl w:val="3C8325A1"/>
    <w:lvl w:ilvl="0" w:tentative="0">
      <w:start w:val="1"/>
      <w:numFmt w:val="decimal"/>
      <w:lvlText w:val="%1、"/>
      <w:lvlJc w:val="left"/>
      <w:pPr>
        <w:ind w:left="1146"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3"/>
  </w:num>
  <w:num w:numId="3">
    <w:abstractNumId w:val="5"/>
  </w:num>
  <w:num w:numId="4">
    <w:abstractNumId w:val="6"/>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95B82"/>
    <w:rsid w:val="00000F09"/>
    <w:rsid w:val="0000243C"/>
    <w:rsid w:val="0000294D"/>
    <w:rsid w:val="00002D7D"/>
    <w:rsid w:val="0000326C"/>
    <w:rsid w:val="00003C8D"/>
    <w:rsid w:val="0000437A"/>
    <w:rsid w:val="000043B5"/>
    <w:rsid w:val="0000460C"/>
    <w:rsid w:val="00005029"/>
    <w:rsid w:val="000055D7"/>
    <w:rsid w:val="00006641"/>
    <w:rsid w:val="0000729B"/>
    <w:rsid w:val="000125A3"/>
    <w:rsid w:val="00012ACB"/>
    <w:rsid w:val="00012CA3"/>
    <w:rsid w:val="000142C6"/>
    <w:rsid w:val="0001514D"/>
    <w:rsid w:val="00015179"/>
    <w:rsid w:val="00015C9E"/>
    <w:rsid w:val="0001645F"/>
    <w:rsid w:val="00016BE5"/>
    <w:rsid w:val="00020274"/>
    <w:rsid w:val="0002234B"/>
    <w:rsid w:val="000223A5"/>
    <w:rsid w:val="00023923"/>
    <w:rsid w:val="00023F34"/>
    <w:rsid w:val="00024D02"/>
    <w:rsid w:val="0002570E"/>
    <w:rsid w:val="00025A2C"/>
    <w:rsid w:val="00026AEC"/>
    <w:rsid w:val="00031E88"/>
    <w:rsid w:val="000320AF"/>
    <w:rsid w:val="00032290"/>
    <w:rsid w:val="00032292"/>
    <w:rsid w:val="000327A6"/>
    <w:rsid w:val="0003307E"/>
    <w:rsid w:val="0003456E"/>
    <w:rsid w:val="00034735"/>
    <w:rsid w:val="000349A7"/>
    <w:rsid w:val="000362A8"/>
    <w:rsid w:val="000409B7"/>
    <w:rsid w:val="0004415D"/>
    <w:rsid w:val="0004460A"/>
    <w:rsid w:val="00044A05"/>
    <w:rsid w:val="000453C3"/>
    <w:rsid w:val="000463A1"/>
    <w:rsid w:val="00046614"/>
    <w:rsid w:val="00047128"/>
    <w:rsid w:val="000501BF"/>
    <w:rsid w:val="00050823"/>
    <w:rsid w:val="00050B0E"/>
    <w:rsid w:val="00052CF4"/>
    <w:rsid w:val="000539C2"/>
    <w:rsid w:val="00054D18"/>
    <w:rsid w:val="000575ED"/>
    <w:rsid w:val="000617FB"/>
    <w:rsid w:val="00061D56"/>
    <w:rsid w:val="00064C0D"/>
    <w:rsid w:val="00065910"/>
    <w:rsid w:val="0006631E"/>
    <w:rsid w:val="000719D3"/>
    <w:rsid w:val="00072241"/>
    <w:rsid w:val="000722F3"/>
    <w:rsid w:val="00074E5F"/>
    <w:rsid w:val="00074E70"/>
    <w:rsid w:val="00075A68"/>
    <w:rsid w:val="0007602D"/>
    <w:rsid w:val="00076F76"/>
    <w:rsid w:val="00080C18"/>
    <w:rsid w:val="00081311"/>
    <w:rsid w:val="000824DF"/>
    <w:rsid w:val="00082F05"/>
    <w:rsid w:val="00085077"/>
    <w:rsid w:val="0008513F"/>
    <w:rsid w:val="00085906"/>
    <w:rsid w:val="00086AFC"/>
    <w:rsid w:val="00086CAF"/>
    <w:rsid w:val="00091107"/>
    <w:rsid w:val="000952E7"/>
    <w:rsid w:val="00096D52"/>
    <w:rsid w:val="00097A7E"/>
    <w:rsid w:val="000A07DD"/>
    <w:rsid w:val="000A1EB4"/>
    <w:rsid w:val="000A23FB"/>
    <w:rsid w:val="000A2983"/>
    <w:rsid w:val="000A3B01"/>
    <w:rsid w:val="000A4C27"/>
    <w:rsid w:val="000A520D"/>
    <w:rsid w:val="000A59D6"/>
    <w:rsid w:val="000A7399"/>
    <w:rsid w:val="000A7C22"/>
    <w:rsid w:val="000B121A"/>
    <w:rsid w:val="000B1900"/>
    <w:rsid w:val="000B1A07"/>
    <w:rsid w:val="000B1BAD"/>
    <w:rsid w:val="000B2D2F"/>
    <w:rsid w:val="000B30AC"/>
    <w:rsid w:val="000B4ABA"/>
    <w:rsid w:val="000B514F"/>
    <w:rsid w:val="000B701D"/>
    <w:rsid w:val="000B706E"/>
    <w:rsid w:val="000C1D58"/>
    <w:rsid w:val="000C3178"/>
    <w:rsid w:val="000C39F6"/>
    <w:rsid w:val="000C3CC4"/>
    <w:rsid w:val="000C682B"/>
    <w:rsid w:val="000C762E"/>
    <w:rsid w:val="000D06BE"/>
    <w:rsid w:val="000D1259"/>
    <w:rsid w:val="000D1F21"/>
    <w:rsid w:val="000D3414"/>
    <w:rsid w:val="000D3C33"/>
    <w:rsid w:val="000D4862"/>
    <w:rsid w:val="000D4DB5"/>
    <w:rsid w:val="000D61F1"/>
    <w:rsid w:val="000E09DC"/>
    <w:rsid w:val="000E0B4D"/>
    <w:rsid w:val="000E4206"/>
    <w:rsid w:val="000E430D"/>
    <w:rsid w:val="000E4E09"/>
    <w:rsid w:val="000E5D85"/>
    <w:rsid w:val="000F29AF"/>
    <w:rsid w:val="000F3A22"/>
    <w:rsid w:val="000F4AA2"/>
    <w:rsid w:val="000F5EEE"/>
    <w:rsid w:val="000F6473"/>
    <w:rsid w:val="000F6568"/>
    <w:rsid w:val="00101954"/>
    <w:rsid w:val="0010437E"/>
    <w:rsid w:val="00106EB4"/>
    <w:rsid w:val="00107760"/>
    <w:rsid w:val="00116205"/>
    <w:rsid w:val="00116A6A"/>
    <w:rsid w:val="00117182"/>
    <w:rsid w:val="001172B2"/>
    <w:rsid w:val="00120A2B"/>
    <w:rsid w:val="00120CD5"/>
    <w:rsid w:val="00121BC5"/>
    <w:rsid w:val="00122640"/>
    <w:rsid w:val="00122C1C"/>
    <w:rsid w:val="001263CE"/>
    <w:rsid w:val="00126B09"/>
    <w:rsid w:val="00126C4F"/>
    <w:rsid w:val="00130E24"/>
    <w:rsid w:val="00131A90"/>
    <w:rsid w:val="001326C5"/>
    <w:rsid w:val="001378CC"/>
    <w:rsid w:val="00142344"/>
    <w:rsid w:val="00144B6A"/>
    <w:rsid w:val="0014559B"/>
    <w:rsid w:val="00145D0C"/>
    <w:rsid w:val="001466CF"/>
    <w:rsid w:val="00146EC3"/>
    <w:rsid w:val="00150907"/>
    <w:rsid w:val="00150F25"/>
    <w:rsid w:val="00153F5F"/>
    <w:rsid w:val="00154D03"/>
    <w:rsid w:val="001558C2"/>
    <w:rsid w:val="001563C8"/>
    <w:rsid w:val="0015687B"/>
    <w:rsid w:val="00156AC5"/>
    <w:rsid w:val="00157963"/>
    <w:rsid w:val="001603FE"/>
    <w:rsid w:val="00160F67"/>
    <w:rsid w:val="00162123"/>
    <w:rsid w:val="001630F8"/>
    <w:rsid w:val="00163DDD"/>
    <w:rsid w:val="0016551D"/>
    <w:rsid w:val="00166CCD"/>
    <w:rsid w:val="001679DD"/>
    <w:rsid w:val="001713AE"/>
    <w:rsid w:val="001713FA"/>
    <w:rsid w:val="00172636"/>
    <w:rsid w:val="00172B16"/>
    <w:rsid w:val="001730EB"/>
    <w:rsid w:val="001740D6"/>
    <w:rsid w:val="00175722"/>
    <w:rsid w:val="001765E5"/>
    <w:rsid w:val="0017730C"/>
    <w:rsid w:val="00177E10"/>
    <w:rsid w:val="00180DCC"/>
    <w:rsid w:val="001848FA"/>
    <w:rsid w:val="00187589"/>
    <w:rsid w:val="00190515"/>
    <w:rsid w:val="00190B0D"/>
    <w:rsid w:val="00192C3C"/>
    <w:rsid w:val="0019328C"/>
    <w:rsid w:val="00193E08"/>
    <w:rsid w:val="00197D3B"/>
    <w:rsid w:val="001A0190"/>
    <w:rsid w:val="001A07C3"/>
    <w:rsid w:val="001A1379"/>
    <w:rsid w:val="001A30D7"/>
    <w:rsid w:val="001A36A4"/>
    <w:rsid w:val="001A6079"/>
    <w:rsid w:val="001A7963"/>
    <w:rsid w:val="001B05CC"/>
    <w:rsid w:val="001B0968"/>
    <w:rsid w:val="001B19CE"/>
    <w:rsid w:val="001B1B7B"/>
    <w:rsid w:val="001B41E1"/>
    <w:rsid w:val="001B4A38"/>
    <w:rsid w:val="001B6C07"/>
    <w:rsid w:val="001B7A82"/>
    <w:rsid w:val="001C0578"/>
    <w:rsid w:val="001C0AD8"/>
    <w:rsid w:val="001C22B4"/>
    <w:rsid w:val="001C22F2"/>
    <w:rsid w:val="001C25FE"/>
    <w:rsid w:val="001C341F"/>
    <w:rsid w:val="001C37DB"/>
    <w:rsid w:val="001C6D3E"/>
    <w:rsid w:val="001C7074"/>
    <w:rsid w:val="001C746A"/>
    <w:rsid w:val="001D08CC"/>
    <w:rsid w:val="001D0E48"/>
    <w:rsid w:val="001D114D"/>
    <w:rsid w:val="001D12E7"/>
    <w:rsid w:val="001D2601"/>
    <w:rsid w:val="001D33D1"/>
    <w:rsid w:val="001E0335"/>
    <w:rsid w:val="001E0707"/>
    <w:rsid w:val="001E167B"/>
    <w:rsid w:val="001E2124"/>
    <w:rsid w:val="001E21ED"/>
    <w:rsid w:val="001E363C"/>
    <w:rsid w:val="001E4BF2"/>
    <w:rsid w:val="001E503A"/>
    <w:rsid w:val="001F1AEC"/>
    <w:rsid w:val="001F1F72"/>
    <w:rsid w:val="001F2723"/>
    <w:rsid w:val="001F3510"/>
    <w:rsid w:val="001F427C"/>
    <w:rsid w:val="001F4499"/>
    <w:rsid w:val="001F55CC"/>
    <w:rsid w:val="001F5695"/>
    <w:rsid w:val="001F7C50"/>
    <w:rsid w:val="00200028"/>
    <w:rsid w:val="0020013F"/>
    <w:rsid w:val="00200ADF"/>
    <w:rsid w:val="00201D1A"/>
    <w:rsid w:val="00203146"/>
    <w:rsid w:val="0020432F"/>
    <w:rsid w:val="00204648"/>
    <w:rsid w:val="002054A3"/>
    <w:rsid w:val="00206BC1"/>
    <w:rsid w:val="00207630"/>
    <w:rsid w:val="00210F1A"/>
    <w:rsid w:val="002111D6"/>
    <w:rsid w:val="002119FD"/>
    <w:rsid w:val="00212C10"/>
    <w:rsid w:val="00212F31"/>
    <w:rsid w:val="002146F1"/>
    <w:rsid w:val="002177B6"/>
    <w:rsid w:val="00220A18"/>
    <w:rsid w:val="00220BC7"/>
    <w:rsid w:val="0022178C"/>
    <w:rsid w:val="0022237B"/>
    <w:rsid w:val="00222388"/>
    <w:rsid w:val="002259B8"/>
    <w:rsid w:val="00227D47"/>
    <w:rsid w:val="0023061B"/>
    <w:rsid w:val="00230E18"/>
    <w:rsid w:val="00230F89"/>
    <w:rsid w:val="002325AA"/>
    <w:rsid w:val="002364C0"/>
    <w:rsid w:val="0023665A"/>
    <w:rsid w:val="00237EA0"/>
    <w:rsid w:val="00241223"/>
    <w:rsid w:val="00243670"/>
    <w:rsid w:val="0024548A"/>
    <w:rsid w:val="002469EF"/>
    <w:rsid w:val="00247CF0"/>
    <w:rsid w:val="00247F3B"/>
    <w:rsid w:val="00250355"/>
    <w:rsid w:val="00253233"/>
    <w:rsid w:val="0025339F"/>
    <w:rsid w:val="0025786A"/>
    <w:rsid w:val="002603B1"/>
    <w:rsid w:val="00260CE8"/>
    <w:rsid w:val="0026172C"/>
    <w:rsid w:val="002627A8"/>
    <w:rsid w:val="0026301F"/>
    <w:rsid w:val="002632F1"/>
    <w:rsid w:val="00264D1E"/>
    <w:rsid w:val="00265126"/>
    <w:rsid w:val="00265951"/>
    <w:rsid w:val="00271B08"/>
    <w:rsid w:val="00271DBA"/>
    <w:rsid w:val="00272AB3"/>
    <w:rsid w:val="0027306C"/>
    <w:rsid w:val="00274519"/>
    <w:rsid w:val="002751A1"/>
    <w:rsid w:val="00275DEE"/>
    <w:rsid w:val="00276104"/>
    <w:rsid w:val="002773A7"/>
    <w:rsid w:val="00277655"/>
    <w:rsid w:val="002806F7"/>
    <w:rsid w:val="00281418"/>
    <w:rsid w:val="002825E2"/>
    <w:rsid w:val="00283EBA"/>
    <w:rsid w:val="0028455D"/>
    <w:rsid w:val="00284BE3"/>
    <w:rsid w:val="00287AA5"/>
    <w:rsid w:val="002903D5"/>
    <w:rsid w:val="00291416"/>
    <w:rsid w:val="00291770"/>
    <w:rsid w:val="0029276D"/>
    <w:rsid w:val="002942F5"/>
    <w:rsid w:val="00294671"/>
    <w:rsid w:val="00296C77"/>
    <w:rsid w:val="002A0DA3"/>
    <w:rsid w:val="002A1EFF"/>
    <w:rsid w:val="002A2386"/>
    <w:rsid w:val="002A3688"/>
    <w:rsid w:val="002A45A6"/>
    <w:rsid w:val="002A66F1"/>
    <w:rsid w:val="002A69B8"/>
    <w:rsid w:val="002A69C0"/>
    <w:rsid w:val="002A7375"/>
    <w:rsid w:val="002B0C2E"/>
    <w:rsid w:val="002B161D"/>
    <w:rsid w:val="002B2F89"/>
    <w:rsid w:val="002B3390"/>
    <w:rsid w:val="002B55AA"/>
    <w:rsid w:val="002B66B4"/>
    <w:rsid w:val="002B6C57"/>
    <w:rsid w:val="002C0A73"/>
    <w:rsid w:val="002C0B03"/>
    <w:rsid w:val="002C0DE4"/>
    <w:rsid w:val="002C1507"/>
    <w:rsid w:val="002C2748"/>
    <w:rsid w:val="002C3C13"/>
    <w:rsid w:val="002C3DD6"/>
    <w:rsid w:val="002C46AE"/>
    <w:rsid w:val="002C4F1F"/>
    <w:rsid w:val="002C57B5"/>
    <w:rsid w:val="002C6211"/>
    <w:rsid w:val="002D190B"/>
    <w:rsid w:val="002D28D3"/>
    <w:rsid w:val="002D463C"/>
    <w:rsid w:val="002D5F11"/>
    <w:rsid w:val="002D7123"/>
    <w:rsid w:val="002D728D"/>
    <w:rsid w:val="002D784B"/>
    <w:rsid w:val="002D7BD1"/>
    <w:rsid w:val="002E0E2F"/>
    <w:rsid w:val="002E1222"/>
    <w:rsid w:val="002E14CC"/>
    <w:rsid w:val="002E185A"/>
    <w:rsid w:val="002E3629"/>
    <w:rsid w:val="002E6A7E"/>
    <w:rsid w:val="002F32C5"/>
    <w:rsid w:val="002F5152"/>
    <w:rsid w:val="00302D5E"/>
    <w:rsid w:val="003056DE"/>
    <w:rsid w:val="00307B6C"/>
    <w:rsid w:val="00307FC8"/>
    <w:rsid w:val="00311658"/>
    <w:rsid w:val="00311D2E"/>
    <w:rsid w:val="00314457"/>
    <w:rsid w:val="00314AD4"/>
    <w:rsid w:val="003151F1"/>
    <w:rsid w:val="00321511"/>
    <w:rsid w:val="00322022"/>
    <w:rsid w:val="003222A1"/>
    <w:rsid w:val="00324C4F"/>
    <w:rsid w:val="00325ECC"/>
    <w:rsid w:val="003260F5"/>
    <w:rsid w:val="00326677"/>
    <w:rsid w:val="00326697"/>
    <w:rsid w:val="00326BAB"/>
    <w:rsid w:val="00326EA8"/>
    <w:rsid w:val="003276F4"/>
    <w:rsid w:val="0033089C"/>
    <w:rsid w:val="0033133D"/>
    <w:rsid w:val="003315C8"/>
    <w:rsid w:val="00332786"/>
    <w:rsid w:val="003327EC"/>
    <w:rsid w:val="00333295"/>
    <w:rsid w:val="00334116"/>
    <w:rsid w:val="003341EE"/>
    <w:rsid w:val="003348F2"/>
    <w:rsid w:val="003367F3"/>
    <w:rsid w:val="003425E5"/>
    <w:rsid w:val="0034366D"/>
    <w:rsid w:val="00344F2F"/>
    <w:rsid w:val="0034549E"/>
    <w:rsid w:val="00350B3F"/>
    <w:rsid w:val="00350DB7"/>
    <w:rsid w:val="003518B4"/>
    <w:rsid w:val="00352F21"/>
    <w:rsid w:val="00353E50"/>
    <w:rsid w:val="00354D2E"/>
    <w:rsid w:val="0035638A"/>
    <w:rsid w:val="00360EB7"/>
    <w:rsid w:val="0036351A"/>
    <w:rsid w:val="00363597"/>
    <w:rsid w:val="00363AB9"/>
    <w:rsid w:val="0036483B"/>
    <w:rsid w:val="003654F0"/>
    <w:rsid w:val="003654FA"/>
    <w:rsid w:val="00372F53"/>
    <w:rsid w:val="003738D5"/>
    <w:rsid w:val="00373D79"/>
    <w:rsid w:val="00374F3D"/>
    <w:rsid w:val="00375177"/>
    <w:rsid w:val="00375C15"/>
    <w:rsid w:val="00376418"/>
    <w:rsid w:val="00376523"/>
    <w:rsid w:val="0037722E"/>
    <w:rsid w:val="0037774F"/>
    <w:rsid w:val="00380191"/>
    <w:rsid w:val="00380412"/>
    <w:rsid w:val="00381DEE"/>
    <w:rsid w:val="0038332A"/>
    <w:rsid w:val="003856F7"/>
    <w:rsid w:val="00385C1E"/>
    <w:rsid w:val="00385ED8"/>
    <w:rsid w:val="00387163"/>
    <w:rsid w:val="00387795"/>
    <w:rsid w:val="003900CA"/>
    <w:rsid w:val="003905A7"/>
    <w:rsid w:val="00390669"/>
    <w:rsid w:val="0039101F"/>
    <w:rsid w:val="00391C8D"/>
    <w:rsid w:val="00392398"/>
    <w:rsid w:val="00392C59"/>
    <w:rsid w:val="003957A3"/>
    <w:rsid w:val="00395863"/>
    <w:rsid w:val="00395B82"/>
    <w:rsid w:val="003976FD"/>
    <w:rsid w:val="003A06E0"/>
    <w:rsid w:val="003A0945"/>
    <w:rsid w:val="003A0FDD"/>
    <w:rsid w:val="003A1A54"/>
    <w:rsid w:val="003A1F84"/>
    <w:rsid w:val="003A2082"/>
    <w:rsid w:val="003A2964"/>
    <w:rsid w:val="003A2B0C"/>
    <w:rsid w:val="003A4C78"/>
    <w:rsid w:val="003A55DE"/>
    <w:rsid w:val="003A6A91"/>
    <w:rsid w:val="003A766B"/>
    <w:rsid w:val="003A775C"/>
    <w:rsid w:val="003B16FE"/>
    <w:rsid w:val="003B1E7E"/>
    <w:rsid w:val="003B2D70"/>
    <w:rsid w:val="003B2EFE"/>
    <w:rsid w:val="003B383C"/>
    <w:rsid w:val="003B3B47"/>
    <w:rsid w:val="003B4587"/>
    <w:rsid w:val="003B5011"/>
    <w:rsid w:val="003B6770"/>
    <w:rsid w:val="003B7711"/>
    <w:rsid w:val="003C001F"/>
    <w:rsid w:val="003C05DD"/>
    <w:rsid w:val="003C1492"/>
    <w:rsid w:val="003C14A3"/>
    <w:rsid w:val="003C2A88"/>
    <w:rsid w:val="003C2E71"/>
    <w:rsid w:val="003C3516"/>
    <w:rsid w:val="003C3D30"/>
    <w:rsid w:val="003C4368"/>
    <w:rsid w:val="003C44EA"/>
    <w:rsid w:val="003C5E4F"/>
    <w:rsid w:val="003C79FF"/>
    <w:rsid w:val="003D019A"/>
    <w:rsid w:val="003D0A88"/>
    <w:rsid w:val="003D6AFD"/>
    <w:rsid w:val="003D6DF3"/>
    <w:rsid w:val="003D7C9C"/>
    <w:rsid w:val="003E099D"/>
    <w:rsid w:val="003E0AA3"/>
    <w:rsid w:val="003E0BFF"/>
    <w:rsid w:val="003E0FFC"/>
    <w:rsid w:val="003E2232"/>
    <w:rsid w:val="003E2F72"/>
    <w:rsid w:val="003E30BC"/>
    <w:rsid w:val="003E4CFE"/>
    <w:rsid w:val="003E4FF1"/>
    <w:rsid w:val="003E5B38"/>
    <w:rsid w:val="003E5D76"/>
    <w:rsid w:val="003E5F7E"/>
    <w:rsid w:val="003E73BA"/>
    <w:rsid w:val="003E7C71"/>
    <w:rsid w:val="003E7F02"/>
    <w:rsid w:val="003F1A12"/>
    <w:rsid w:val="003F2E5D"/>
    <w:rsid w:val="003F32C5"/>
    <w:rsid w:val="003F4B0F"/>
    <w:rsid w:val="003F5777"/>
    <w:rsid w:val="003F6751"/>
    <w:rsid w:val="003F7339"/>
    <w:rsid w:val="003F79C0"/>
    <w:rsid w:val="003F7E34"/>
    <w:rsid w:val="003F7EAA"/>
    <w:rsid w:val="00400013"/>
    <w:rsid w:val="00401051"/>
    <w:rsid w:val="00402E61"/>
    <w:rsid w:val="00404228"/>
    <w:rsid w:val="00404774"/>
    <w:rsid w:val="004050F5"/>
    <w:rsid w:val="004055ED"/>
    <w:rsid w:val="0040674A"/>
    <w:rsid w:val="0040747F"/>
    <w:rsid w:val="00407DBB"/>
    <w:rsid w:val="00410D4A"/>
    <w:rsid w:val="0041117A"/>
    <w:rsid w:val="00411DAD"/>
    <w:rsid w:val="00411EF4"/>
    <w:rsid w:val="00412383"/>
    <w:rsid w:val="00413E76"/>
    <w:rsid w:val="00413F95"/>
    <w:rsid w:val="0041420E"/>
    <w:rsid w:val="00415C2F"/>
    <w:rsid w:val="004167AA"/>
    <w:rsid w:val="00416B83"/>
    <w:rsid w:val="004171A4"/>
    <w:rsid w:val="00422325"/>
    <w:rsid w:val="00422333"/>
    <w:rsid w:val="0042273F"/>
    <w:rsid w:val="00424992"/>
    <w:rsid w:val="00425A2E"/>
    <w:rsid w:val="00425F66"/>
    <w:rsid w:val="00426030"/>
    <w:rsid w:val="00426CD2"/>
    <w:rsid w:val="00426D43"/>
    <w:rsid w:val="00427624"/>
    <w:rsid w:val="00427EE7"/>
    <w:rsid w:val="00430DED"/>
    <w:rsid w:val="0043192D"/>
    <w:rsid w:val="0043459F"/>
    <w:rsid w:val="00440A0E"/>
    <w:rsid w:val="00441A20"/>
    <w:rsid w:val="00441B5F"/>
    <w:rsid w:val="00442294"/>
    <w:rsid w:val="004438F8"/>
    <w:rsid w:val="00444839"/>
    <w:rsid w:val="004453C9"/>
    <w:rsid w:val="004517BB"/>
    <w:rsid w:val="0045294C"/>
    <w:rsid w:val="00453C8E"/>
    <w:rsid w:val="00454A40"/>
    <w:rsid w:val="00454A96"/>
    <w:rsid w:val="00455A65"/>
    <w:rsid w:val="004602FB"/>
    <w:rsid w:val="004611A3"/>
    <w:rsid w:val="004617E5"/>
    <w:rsid w:val="00462E61"/>
    <w:rsid w:val="0046385C"/>
    <w:rsid w:val="00463AFC"/>
    <w:rsid w:val="00466BDC"/>
    <w:rsid w:val="004676ED"/>
    <w:rsid w:val="00467C19"/>
    <w:rsid w:val="00470F2A"/>
    <w:rsid w:val="004715AE"/>
    <w:rsid w:val="004730DC"/>
    <w:rsid w:val="0047423F"/>
    <w:rsid w:val="00480011"/>
    <w:rsid w:val="00480780"/>
    <w:rsid w:val="00480DBF"/>
    <w:rsid w:val="00481C97"/>
    <w:rsid w:val="00482B73"/>
    <w:rsid w:val="004833FA"/>
    <w:rsid w:val="004836B1"/>
    <w:rsid w:val="00484B23"/>
    <w:rsid w:val="00485CB0"/>
    <w:rsid w:val="004871BC"/>
    <w:rsid w:val="004871EF"/>
    <w:rsid w:val="004879C5"/>
    <w:rsid w:val="00487B21"/>
    <w:rsid w:val="0049434E"/>
    <w:rsid w:val="00494C5B"/>
    <w:rsid w:val="00494EA8"/>
    <w:rsid w:val="00494F00"/>
    <w:rsid w:val="004952AB"/>
    <w:rsid w:val="00497AA7"/>
    <w:rsid w:val="004A114D"/>
    <w:rsid w:val="004A32F7"/>
    <w:rsid w:val="004A5558"/>
    <w:rsid w:val="004A5C33"/>
    <w:rsid w:val="004A7AF8"/>
    <w:rsid w:val="004B045A"/>
    <w:rsid w:val="004B3732"/>
    <w:rsid w:val="004B412D"/>
    <w:rsid w:val="004B4BAA"/>
    <w:rsid w:val="004B4EDC"/>
    <w:rsid w:val="004B5710"/>
    <w:rsid w:val="004B7800"/>
    <w:rsid w:val="004B7CFF"/>
    <w:rsid w:val="004C0FDF"/>
    <w:rsid w:val="004C0FF6"/>
    <w:rsid w:val="004C2058"/>
    <w:rsid w:val="004C2AEB"/>
    <w:rsid w:val="004C380B"/>
    <w:rsid w:val="004C5126"/>
    <w:rsid w:val="004C59AE"/>
    <w:rsid w:val="004D0A95"/>
    <w:rsid w:val="004D11E4"/>
    <w:rsid w:val="004D37AB"/>
    <w:rsid w:val="004E21B7"/>
    <w:rsid w:val="004E2457"/>
    <w:rsid w:val="004E2CFF"/>
    <w:rsid w:val="004E3B52"/>
    <w:rsid w:val="004E5FB3"/>
    <w:rsid w:val="004E66F6"/>
    <w:rsid w:val="004E7CFD"/>
    <w:rsid w:val="004F09B9"/>
    <w:rsid w:val="004F0B40"/>
    <w:rsid w:val="004F11F4"/>
    <w:rsid w:val="004F5A2D"/>
    <w:rsid w:val="004F5B49"/>
    <w:rsid w:val="004F6213"/>
    <w:rsid w:val="0050046B"/>
    <w:rsid w:val="00500A50"/>
    <w:rsid w:val="005024C8"/>
    <w:rsid w:val="005051B9"/>
    <w:rsid w:val="005056F0"/>
    <w:rsid w:val="00506D94"/>
    <w:rsid w:val="00507292"/>
    <w:rsid w:val="0051005A"/>
    <w:rsid w:val="005111E9"/>
    <w:rsid w:val="0051586B"/>
    <w:rsid w:val="00517436"/>
    <w:rsid w:val="0051761F"/>
    <w:rsid w:val="00517669"/>
    <w:rsid w:val="00520F1B"/>
    <w:rsid w:val="00522607"/>
    <w:rsid w:val="00523CA6"/>
    <w:rsid w:val="005242B1"/>
    <w:rsid w:val="005255CC"/>
    <w:rsid w:val="00525B56"/>
    <w:rsid w:val="00525CEB"/>
    <w:rsid w:val="00526541"/>
    <w:rsid w:val="00526CF7"/>
    <w:rsid w:val="00527E88"/>
    <w:rsid w:val="00530277"/>
    <w:rsid w:val="00530959"/>
    <w:rsid w:val="00532FEC"/>
    <w:rsid w:val="00533400"/>
    <w:rsid w:val="005335DA"/>
    <w:rsid w:val="00533DC1"/>
    <w:rsid w:val="005369E8"/>
    <w:rsid w:val="0054108A"/>
    <w:rsid w:val="00542BBD"/>
    <w:rsid w:val="00542F2C"/>
    <w:rsid w:val="00543D41"/>
    <w:rsid w:val="00544557"/>
    <w:rsid w:val="00544A01"/>
    <w:rsid w:val="0054533F"/>
    <w:rsid w:val="00546FDB"/>
    <w:rsid w:val="0054715F"/>
    <w:rsid w:val="0054745A"/>
    <w:rsid w:val="00547557"/>
    <w:rsid w:val="0054783F"/>
    <w:rsid w:val="0055217C"/>
    <w:rsid w:val="00552848"/>
    <w:rsid w:val="00553AA7"/>
    <w:rsid w:val="0055497C"/>
    <w:rsid w:val="00554C7D"/>
    <w:rsid w:val="00554CB3"/>
    <w:rsid w:val="005555B7"/>
    <w:rsid w:val="005560A3"/>
    <w:rsid w:val="005565ED"/>
    <w:rsid w:val="00557F4D"/>
    <w:rsid w:val="005623E0"/>
    <w:rsid w:val="00562786"/>
    <w:rsid w:val="005627D6"/>
    <w:rsid w:val="00562B68"/>
    <w:rsid w:val="00563194"/>
    <w:rsid w:val="00565A4C"/>
    <w:rsid w:val="00566276"/>
    <w:rsid w:val="00566314"/>
    <w:rsid w:val="00567D7A"/>
    <w:rsid w:val="005706EC"/>
    <w:rsid w:val="00570883"/>
    <w:rsid w:val="00571AE8"/>
    <w:rsid w:val="00571BEE"/>
    <w:rsid w:val="00572858"/>
    <w:rsid w:val="00572E7C"/>
    <w:rsid w:val="005748E5"/>
    <w:rsid w:val="00576162"/>
    <w:rsid w:val="005762A0"/>
    <w:rsid w:val="00576EDC"/>
    <w:rsid w:val="0058146E"/>
    <w:rsid w:val="00584BBD"/>
    <w:rsid w:val="0058780D"/>
    <w:rsid w:val="005878B9"/>
    <w:rsid w:val="005920C7"/>
    <w:rsid w:val="00592712"/>
    <w:rsid w:val="00594D66"/>
    <w:rsid w:val="00597E92"/>
    <w:rsid w:val="005A01E6"/>
    <w:rsid w:val="005A126C"/>
    <w:rsid w:val="005A144F"/>
    <w:rsid w:val="005A1AD3"/>
    <w:rsid w:val="005A206B"/>
    <w:rsid w:val="005A3109"/>
    <w:rsid w:val="005A3F26"/>
    <w:rsid w:val="005A3FBB"/>
    <w:rsid w:val="005A599F"/>
    <w:rsid w:val="005A6A02"/>
    <w:rsid w:val="005B07D2"/>
    <w:rsid w:val="005B260D"/>
    <w:rsid w:val="005B34FD"/>
    <w:rsid w:val="005B414E"/>
    <w:rsid w:val="005B6083"/>
    <w:rsid w:val="005C0BF3"/>
    <w:rsid w:val="005C140F"/>
    <w:rsid w:val="005C1D36"/>
    <w:rsid w:val="005C1E3D"/>
    <w:rsid w:val="005C2170"/>
    <w:rsid w:val="005C29C9"/>
    <w:rsid w:val="005C3DA6"/>
    <w:rsid w:val="005C55E5"/>
    <w:rsid w:val="005C6E9B"/>
    <w:rsid w:val="005C7F4E"/>
    <w:rsid w:val="005D00F6"/>
    <w:rsid w:val="005D074C"/>
    <w:rsid w:val="005D132A"/>
    <w:rsid w:val="005D1AEF"/>
    <w:rsid w:val="005D63C2"/>
    <w:rsid w:val="005D7AA0"/>
    <w:rsid w:val="005E0646"/>
    <w:rsid w:val="005E1A9E"/>
    <w:rsid w:val="005E3382"/>
    <w:rsid w:val="005E3DC5"/>
    <w:rsid w:val="005E428F"/>
    <w:rsid w:val="005E42C4"/>
    <w:rsid w:val="005E4E6A"/>
    <w:rsid w:val="005E509C"/>
    <w:rsid w:val="005E6988"/>
    <w:rsid w:val="005E72AA"/>
    <w:rsid w:val="005E7981"/>
    <w:rsid w:val="005E7B8B"/>
    <w:rsid w:val="005F0781"/>
    <w:rsid w:val="005F13FD"/>
    <w:rsid w:val="005F1E9D"/>
    <w:rsid w:val="005F410A"/>
    <w:rsid w:val="005F466B"/>
    <w:rsid w:val="005F5422"/>
    <w:rsid w:val="005F5FD9"/>
    <w:rsid w:val="005F773B"/>
    <w:rsid w:val="00600B1F"/>
    <w:rsid w:val="006015C0"/>
    <w:rsid w:val="006021D3"/>
    <w:rsid w:val="006023C8"/>
    <w:rsid w:val="00602E14"/>
    <w:rsid w:val="00603303"/>
    <w:rsid w:val="0060511E"/>
    <w:rsid w:val="006057A5"/>
    <w:rsid w:val="00606B56"/>
    <w:rsid w:val="00610149"/>
    <w:rsid w:val="006115CB"/>
    <w:rsid w:val="00612A0D"/>
    <w:rsid w:val="00612F92"/>
    <w:rsid w:val="00614AA2"/>
    <w:rsid w:val="00615CE8"/>
    <w:rsid w:val="00617E58"/>
    <w:rsid w:val="00620DFB"/>
    <w:rsid w:val="00621569"/>
    <w:rsid w:val="00622A3C"/>
    <w:rsid w:val="0062308A"/>
    <w:rsid w:val="00623249"/>
    <w:rsid w:val="0062351D"/>
    <w:rsid w:val="00624214"/>
    <w:rsid w:val="00624422"/>
    <w:rsid w:val="00624F83"/>
    <w:rsid w:val="00625BB5"/>
    <w:rsid w:val="006270A3"/>
    <w:rsid w:val="00627979"/>
    <w:rsid w:val="006279BF"/>
    <w:rsid w:val="00627CA3"/>
    <w:rsid w:val="006309C9"/>
    <w:rsid w:val="00630C79"/>
    <w:rsid w:val="00632FD0"/>
    <w:rsid w:val="00633BB4"/>
    <w:rsid w:val="00634399"/>
    <w:rsid w:val="006347EF"/>
    <w:rsid w:val="00636867"/>
    <w:rsid w:val="006405BD"/>
    <w:rsid w:val="00641292"/>
    <w:rsid w:val="006418C4"/>
    <w:rsid w:val="0064330E"/>
    <w:rsid w:val="006450D4"/>
    <w:rsid w:val="00645898"/>
    <w:rsid w:val="0064617C"/>
    <w:rsid w:val="0064635C"/>
    <w:rsid w:val="0064695A"/>
    <w:rsid w:val="00651054"/>
    <w:rsid w:val="00651A05"/>
    <w:rsid w:val="00651CAA"/>
    <w:rsid w:val="00652AA8"/>
    <w:rsid w:val="006530E7"/>
    <w:rsid w:val="00655E2B"/>
    <w:rsid w:val="006560DB"/>
    <w:rsid w:val="00656B22"/>
    <w:rsid w:val="006571BD"/>
    <w:rsid w:val="00660E8F"/>
    <w:rsid w:val="00662161"/>
    <w:rsid w:val="00662166"/>
    <w:rsid w:val="006623AD"/>
    <w:rsid w:val="006627C2"/>
    <w:rsid w:val="00664350"/>
    <w:rsid w:val="0066520F"/>
    <w:rsid w:val="00665326"/>
    <w:rsid w:val="00666063"/>
    <w:rsid w:val="00667533"/>
    <w:rsid w:val="00667FE0"/>
    <w:rsid w:val="00670F4D"/>
    <w:rsid w:val="00671095"/>
    <w:rsid w:val="0067279D"/>
    <w:rsid w:val="006739F8"/>
    <w:rsid w:val="0067592A"/>
    <w:rsid w:val="00675A37"/>
    <w:rsid w:val="00675A39"/>
    <w:rsid w:val="00676A57"/>
    <w:rsid w:val="006778DA"/>
    <w:rsid w:val="006818D5"/>
    <w:rsid w:val="006820CE"/>
    <w:rsid w:val="00682C04"/>
    <w:rsid w:val="00683F49"/>
    <w:rsid w:val="00684596"/>
    <w:rsid w:val="00684730"/>
    <w:rsid w:val="006849FC"/>
    <w:rsid w:val="00684E05"/>
    <w:rsid w:val="00685289"/>
    <w:rsid w:val="00685975"/>
    <w:rsid w:val="006859D5"/>
    <w:rsid w:val="00686287"/>
    <w:rsid w:val="006906DE"/>
    <w:rsid w:val="00690C28"/>
    <w:rsid w:val="00692C3A"/>
    <w:rsid w:val="00693515"/>
    <w:rsid w:val="0069510C"/>
    <w:rsid w:val="00695CE3"/>
    <w:rsid w:val="006966C3"/>
    <w:rsid w:val="006A1AE5"/>
    <w:rsid w:val="006A451C"/>
    <w:rsid w:val="006A6750"/>
    <w:rsid w:val="006A77A5"/>
    <w:rsid w:val="006A7D1D"/>
    <w:rsid w:val="006B001B"/>
    <w:rsid w:val="006B105E"/>
    <w:rsid w:val="006B15CF"/>
    <w:rsid w:val="006B27EE"/>
    <w:rsid w:val="006B2F50"/>
    <w:rsid w:val="006B4B16"/>
    <w:rsid w:val="006B4B1F"/>
    <w:rsid w:val="006B58CC"/>
    <w:rsid w:val="006B5BF4"/>
    <w:rsid w:val="006B6A62"/>
    <w:rsid w:val="006C07A5"/>
    <w:rsid w:val="006C36D5"/>
    <w:rsid w:val="006C3964"/>
    <w:rsid w:val="006C598B"/>
    <w:rsid w:val="006C5BE9"/>
    <w:rsid w:val="006C71EC"/>
    <w:rsid w:val="006D12E1"/>
    <w:rsid w:val="006D18C8"/>
    <w:rsid w:val="006D28B5"/>
    <w:rsid w:val="006D4564"/>
    <w:rsid w:val="006D47AB"/>
    <w:rsid w:val="006D48B7"/>
    <w:rsid w:val="006D55BF"/>
    <w:rsid w:val="006D61B3"/>
    <w:rsid w:val="006E0636"/>
    <w:rsid w:val="006E06ED"/>
    <w:rsid w:val="006E0DD9"/>
    <w:rsid w:val="006E509D"/>
    <w:rsid w:val="006E51D7"/>
    <w:rsid w:val="006E5633"/>
    <w:rsid w:val="006E5BA6"/>
    <w:rsid w:val="006E5E4A"/>
    <w:rsid w:val="006E6C70"/>
    <w:rsid w:val="006E7611"/>
    <w:rsid w:val="006E78D9"/>
    <w:rsid w:val="006F36E4"/>
    <w:rsid w:val="006F3752"/>
    <w:rsid w:val="006F4626"/>
    <w:rsid w:val="006F54AB"/>
    <w:rsid w:val="006F5BFE"/>
    <w:rsid w:val="006F6239"/>
    <w:rsid w:val="006F6589"/>
    <w:rsid w:val="006F70A9"/>
    <w:rsid w:val="007002C3"/>
    <w:rsid w:val="007010A3"/>
    <w:rsid w:val="00702450"/>
    <w:rsid w:val="0070268D"/>
    <w:rsid w:val="00702AEF"/>
    <w:rsid w:val="007039FA"/>
    <w:rsid w:val="00703A39"/>
    <w:rsid w:val="00704301"/>
    <w:rsid w:val="0070633E"/>
    <w:rsid w:val="0070693C"/>
    <w:rsid w:val="007070B3"/>
    <w:rsid w:val="00707801"/>
    <w:rsid w:val="0071303D"/>
    <w:rsid w:val="007138A3"/>
    <w:rsid w:val="00713C61"/>
    <w:rsid w:val="0071507D"/>
    <w:rsid w:val="0071682A"/>
    <w:rsid w:val="00716994"/>
    <w:rsid w:val="007172C4"/>
    <w:rsid w:val="0071769F"/>
    <w:rsid w:val="007176A2"/>
    <w:rsid w:val="00717E64"/>
    <w:rsid w:val="00720DB9"/>
    <w:rsid w:val="007214BE"/>
    <w:rsid w:val="00721878"/>
    <w:rsid w:val="00721E8D"/>
    <w:rsid w:val="007241A3"/>
    <w:rsid w:val="00724893"/>
    <w:rsid w:val="00725096"/>
    <w:rsid w:val="007259B0"/>
    <w:rsid w:val="00730573"/>
    <w:rsid w:val="00732349"/>
    <w:rsid w:val="007328A3"/>
    <w:rsid w:val="00733AA7"/>
    <w:rsid w:val="00735E12"/>
    <w:rsid w:val="00737C12"/>
    <w:rsid w:val="007411CE"/>
    <w:rsid w:val="00742758"/>
    <w:rsid w:val="00744375"/>
    <w:rsid w:val="00745812"/>
    <w:rsid w:val="00747724"/>
    <w:rsid w:val="0075124E"/>
    <w:rsid w:val="00751ADF"/>
    <w:rsid w:val="00751F25"/>
    <w:rsid w:val="00752C25"/>
    <w:rsid w:val="00752DC2"/>
    <w:rsid w:val="0075400E"/>
    <w:rsid w:val="0075529F"/>
    <w:rsid w:val="0075784D"/>
    <w:rsid w:val="007726E1"/>
    <w:rsid w:val="00773E5C"/>
    <w:rsid w:val="00775515"/>
    <w:rsid w:val="00776152"/>
    <w:rsid w:val="00777020"/>
    <w:rsid w:val="00777F6E"/>
    <w:rsid w:val="00777FB2"/>
    <w:rsid w:val="00780E81"/>
    <w:rsid w:val="0078103F"/>
    <w:rsid w:val="007813E5"/>
    <w:rsid w:val="007816AC"/>
    <w:rsid w:val="00781E98"/>
    <w:rsid w:val="00783F4C"/>
    <w:rsid w:val="00785642"/>
    <w:rsid w:val="007870DB"/>
    <w:rsid w:val="00790711"/>
    <w:rsid w:val="00790C05"/>
    <w:rsid w:val="00790CC5"/>
    <w:rsid w:val="00791310"/>
    <w:rsid w:val="00793768"/>
    <w:rsid w:val="0079420E"/>
    <w:rsid w:val="00796DF2"/>
    <w:rsid w:val="007A0CE5"/>
    <w:rsid w:val="007A296F"/>
    <w:rsid w:val="007A3744"/>
    <w:rsid w:val="007A38BD"/>
    <w:rsid w:val="007A46AB"/>
    <w:rsid w:val="007A53BD"/>
    <w:rsid w:val="007A6DE0"/>
    <w:rsid w:val="007B1316"/>
    <w:rsid w:val="007B20DF"/>
    <w:rsid w:val="007B2599"/>
    <w:rsid w:val="007B3E2F"/>
    <w:rsid w:val="007B4815"/>
    <w:rsid w:val="007B4D08"/>
    <w:rsid w:val="007B55C4"/>
    <w:rsid w:val="007B6AB5"/>
    <w:rsid w:val="007B7533"/>
    <w:rsid w:val="007C1243"/>
    <w:rsid w:val="007C192A"/>
    <w:rsid w:val="007C19A5"/>
    <w:rsid w:val="007C2100"/>
    <w:rsid w:val="007C2FA9"/>
    <w:rsid w:val="007C36F2"/>
    <w:rsid w:val="007C588E"/>
    <w:rsid w:val="007C6F6A"/>
    <w:rsid w:val="007D2047"/>
    <w:rsid w:val="007D3721"/>
    <w:rsid w:val="007D4AFC"/>
    <w:rsid w:val="007D6997"/>
    <w:rsid w:val="007D69BB"/>
    <w:rsid w:val="007E00A1"/>
    <w:rsid w:val="007E0F8F"/>
    <w:rsid w:val="007E1FA2"/>
    <w:rsid w:val="007E2E1D"/>
    <w:rsid w:val="007E4CFB"/>
    <w:rsid w:val="007E5AF9"/>
    <w:rsid w:val="007E5DDC"/>
    <w:rsid w:val="007E6444"/>
    <w:rsid w:val="007E72CC"/>
    <w:rsid w:val="007E7411"/>
    <w:rsid w:val="007E7CE7"/>
    <w:rsid w:val="007F1D6C"/>
    <w:rsid w:val="007F1E58"/>
    <w:rsid w:val="007F3401"/>
    <w:rsid w:val="007F4B79"/>
    <w:rsid w:val="007F6ACE"/>
    <w:rsid w:val="007F764A"/>
    <w:rsid w:val="00800545"/>
    <w:rsid w:val="00800F5F"/>
    <w:rsid w:val="00801841"/>
    <w:rsid w:val="0080204A"/>
    <w:rsid w:val="00803D1B"/>
    <w:rsid w:val="00804FCE"/>
    <w:rsid w:val="00806A68"/>
    <w:rsid w:val="00806E90"/>
    <w:rsid w:val="00810142"/>
    <w:rsid w:val="0081037C"/>
    <w:rsid w:val="0081056C"/>
    <w:rsid w:val="00812AE9"/>
    <w:rsid w:val="00814154"/>
    <w:rsid w:val="00814AAC"/>
    <w:rsid w:val="008170F6"/>
    <w:rsid w:val="00820D7F"/>
    <w:rsid w:val="00821CB2"/>
    <w:rsid w:val="00822E6F"/>
    <w:rsid w:val="008261A5"/>
    <w:rsid w:val="0083377D"/>
    <w:rsid w:val="00834961"/>
    <w:rsid w:val="00835F76"/>
    <w:rsid w:val="00840DCC"/>
    <w:rsid w:val="00840F02"/>
    <w:rsid w:val="0084136A"/>
    <w:rsid w:val="00842F7C"/>
    <w:rsid w:val="00847F70"/>
    <w:rsid w:val="00853441"/>
    <w:rsid w:val="00853E9C"/>
    <w:rsid w:val="00855685"/>
    <w:rsid w:val="008558D0"/>
    <w:rsid w:val="00855BEB"/>
    <w:rsid w:val="00860632"/>
    <w:rsid w:val="008634B6"/>
    <w:rsid w:val="00865097"/>
    <w:rsid w:val="00865A66"/>
    <w:rsid w:val="0086711D"/>
    <w:rsid w:val="00867A60"/>
    <w:rsid w:val="008716DA"/>
    <w:rsid w:val="00871E32"/>
    <w:rsid w:val="00874079"/>
    <w:rsid w:val="00875951"/>
    <w:rsid w:val="00876CD3"/>
    <w:rsid w:val="00877215"/>
    <w:rsid w:val="008777B1"/>
    <w:rsid w:val="00877CDB"/>
    <w:rsid w:val="008838AE"/>
    <w:rsid w:val="00883952"/>
    <w:rsid w:val="008840A8"/>
    <w:rsid w:val="008848BB"/>
    <w:rsid w:val="008849AA"/>
    <w:rsid w:val="0088596B"/>
    <w:rsid w:val="00886160"/>
    <w:rsid w:val="00890456"/>
    <w:rsid w:val="00890537"/>
    <w:rsid w:val="00890D2A"/>
    <w:rsid w:val="00892901"/>
    <w:rsid w:val="00892ACB"/>
    <w:rsid w:val="00892BE2"/>
    <w:rsid w:val="00893447"/>
    <w:rsid w:val="0089459C"/>
    <w:rsid w:val="00894FEA"/>
    <w:rsid w:val="0089596C"/>
    <w:rsid w:val="00895FF1"/>
    <w:rsid w:val="00896311"/>
    <w:rsid w:val="008A44A1"/>
    <w:rsid w:val="008A5BA4"/>
    <w:rsid w:val="008A6A7F"/>
    <w:rsid w:val="008A743E"/>
    <w:rsid w:val="008A78F2"/>
    <w:rsid w:val="008A7DE1"/>
    <w:rsid w:val="008B4CF9"/>
    <w:rsid w:val="008B556A"/>
    <w:rsid w:val="008B5C97"/>
    <w:rsid w:val="008B607C"/>
    <w:rsid w:val="008B65A5"/>
    <w:rsid w:val="008B6A63"/>
    <w:rsid w:val="008B6EED"/>
    <w:rsid w:val="008B7A91"/>
    <w:rsid w:val="008C008F"/>
    <w:rsid w:val="008C00FE"/>
    <w:rsid w:val="008C063D"/>
    <w:rsid w:val="008C07ED"/>
    <w:rsid w:val="008C1075"/>
    <w:rsid w:val="008C1BD6"/>
    <w:rsid w:val="008C51B7"/>
    <w:rsid w:val="008C5A14"/>
    <w:rsid w:val="008C5B88"/>
    <w:rsid w:val="008C721C"/>
    <w:rsid w:val="008D0D91"/>
    <w:rsid w:val="008D2857"/>
    <w:rsid w:val="008D337C"/>
    <w:rsid w:val="008D3916"/>
    <w:rsid w:val="008D41A5"/>
    <w:rsid w:val="008D4BFE"/>
    <w:rsid w:val="008D59FA"/>
    <w:rsid w:val="008D63D9"/>
    <w:rsid w:val="008D6801"/>
    <w:rsid w:val="008D6979"/>
    <w:rsid w:val="008D7AB0"/>
    <w:rsid w:val="008D7BE7"/>
    <w:rsid w:val="008E0505"/>
    <w:rsid w:val="008E1599"/>
    <w:rsid w:val="008E196B"/>
    <w:rsid w:val="008E1A41"/>
    <w:rsid w:val="008E1B01"/>
    <w:rsid w:val="008E3643"/>
    <w:rsid w:val="008F2BB9"/>
    <w:rsid w:val="008F4488"/>
    <w:rsid w:val="008F584E"/>
    <w:rsid w:val="009010FD"/>
    <w:rsid w:val="00901E9E"/>
    <w:rsid w:val="00902E34"/>
    <w:rsid w:val="00902F1A"/>
    <w:rsid w:val="00905228"/>
    <w:rsid w:val="009059E6"/>
    <w:rsid w:val="00906646"/>
    <w:rsid w:val="00906ED0"/>
    <w:rsid w:val="0090760F"/>
    <w:rsid w:val="0091090E"/>
    <w:rsid w:val="009116F4"/>
    <w:rsid w:val="00911FDD"/>
    <w:rsid w:val="009123D8"/>
    <w:rsid w:val="00912692"/>
    <w:rsid w:val="0091358D"/>
    <w:rsid w:val="00917823"/>
    <w:rsid w:val="00917C4C"/>
    <w:rsid w:val="00917C56"/>
    <w:rsid w:val="009208BF"/>
    <w:rsid w:val="00921376"/>
    <w:rsid w:val="009223C6"/>
    <w:rsid w:val="00923B0E"/>
    <w:rsid w:val="009240A9"/>
    <w:rsid w:val="009252BC"/>
    <w:rsid w:val="009266E6"/>
    <w:rsid w:val="009268E8"/>
    <w:rsid w:val="00926BB1"/>
    <w:rsid w:val="00931A73"/>
    <w:rsid w:val="00934C9E"/>
    <w:rsid w:val="00940EB0"/>
    <w:rsid w:val="00941475"/>
    <w:rsid w:val="00943D17"/>
    <w:rsid w:val="0094682D"/>
    <w:rsid w:val="009469B5"/>
    <w:rsid w:val="00946A14"/>
    <w:rsid w:val="009505A9"/>
    <w:rsid w:val="00950943"/>
    <w:rsid w:val="009513C0"/>
    <w:rsid w:val="00951AE5"/>
    <w:rsid w:val="009543DE"/>
    <w:rsid w:val="00955A60"/>
    <w:rsid w:val="009565DD"/>
    <w:rsid w:val="00956D06"/>
    <w:rsid w:val="009570E4"/>
    <w:rsid w:val="009571FA"/>
    <w:rsid w:val="009602E2"/>
    <w:rsid w:val="0096144B"/>
    <w:rsid w:val="00962258"/>
    <w:rsid w:val="0096502C"/>
    <w:rsid w:val="00965048"/>
    <w:rsid w:val="00966033"/>
    <w:rsid w:val="0097000F"/>
    <w:rsid w:val="00970B97"/>
    <w:rsid w:val="00970F4C"/>
    <w:rsid w:val="0097136F"/>
    <w:rsid w:val="00971E3C"/>
    <w:rsid w:val="00971E7E"/>
    <w:rsid w:val="00972392"/>
    <w:rsid w:val="009727FC"/>
    <w:rsid w:val="009737D3"/>
    <w:rsid w:val="00973837"/>
    <w:rsid w:val="009739FE"/>
    <w:rsid w:val="00975AC6"/>
    <w:rsid w:val="00982F96"/>
    <w:rsid w:val="00983E52"/>
    <w:rsid w:val="009844ED"/>
    <w:rsid w:val="009846BB"/>
    <w:rsid w:val="0098557D"/>
    <w:rsid w:val="00987AF6"/>
    <w:rsid w:val="00990A80"/>
    <w:rsid w:val="00991A38"/>
    <w:rsid w:val="0099306C"/>
    <w:rsid w:val="0099321A"/>
    <w:rsid w:val="00994FBB"/>
    <w:rsid w:val="009951D7"/>
    <w:rsid w:val="00995924"/>
    <w:rsid w:val="00997C13"/>
    <w:rsid w:val="009A112E"/>
    <w:rsid w:val="009A21F4"/>
    <w:rsid w:val="009A31D1"/>
    <w:rsid w:val="009A4A42"/>
    <w:rsid w:val="009A4E04"/>
    <w:rsid w:val="009A5969"/>
    <w:rsid w:val="009A6B2C"/>
    <w:rsid w:val="009A7492"/>
    <w:rsid w:val="009B1365"/>
    <w:rsid w:val="009B1B1C"/>
    <w:rsid w:val="009B1C54"/>
    <w:rsid w:val="009B2A96"/>
    <w:rsid w:val="009B36BD"/>
    <w:rsid w:val="009B3F8E"/>
    <w:rsid w:val="009B4F6F"/>
    <w:rsid w:val="009B5BA3"/>
    <w:rsid w:val="009B6264"/>
    <w:rsid w:val="009B642B"/>
    <w:rsid w:val="009B6855"/>
    <w:rsid w:val="009B69B9"/>
    <w:rsid w:val="009B6DA5"/>
    <w:rsid w:val="009C0500"/>
    <w:rsid w:val="009C1147"/>
    <w:rsid w:val="009C1796"/>
    <w:rsid w:val="009C2055"/>
    <w:rsid w:val="009C38BD"/>
    <w:rsid w:val="009C3DBF"/>
    <w:rsid w:val="009C51AE"/>
    <w:rsid w:val="009C6675"/>
    <w:rsid w:val="009C679D"/>
    <w:rsid w:val="009D125E"/>
    <w:rsid w:val="009D1418"/>
    <w:rsid w:val="009D145F"/>
    <w:rsid w:val="009D1E6A"/>
    <w:rsid w:val="009D1ED2"/>
    <w:rsid w:val="009D33E3"/>
    <w:rsid w:val="009D4A73"/>
    <w:rsid w:val="009D5FB8"/>
    <w:rsid w:val="009D76F4"/>
    <w:rsid w:val="009E006F"/>
    <w:rsid w:val="009E04BA"/>
    <w:rsid w:val="009E0C41"/>
    <w:rsid w:val="009E1758"/>
    <w:rsid w:val="009E1A06"/>
    <w:rsid w:val="009E1F69"/>
    <w:rsid w:val="009E5C17"/>
    <w:rsid w:val="009E6B9C"/>
    <w:rsid w:val="009E70CE"/>
    <w:rsid w:val="009F00C2"/>
    <w:rsid w:val="009F0523"/>
    <w:rsid w:val="009F079A"/>
    <w:rsid w:val="009F0B8C"/>
    <w:rsid w:val="009F2366"/>
    <w:rsid w:val="009F2A72"/>
    <w:rsid w:val="009F2CEF"/>
    <w:rsid w:val="009F584F"/>
    <w:rsid w:val="009F64FD"/>
    <w:rsid w:val="009F7072"/>
    <w:rsid w:val="00A0195C"/>
    <w:rsid w:val="00A01BCE"/>
    <w:rsid w:val="00A02B3F"/>
    <w:rsid w:val="00A03E64"/>
    <w:rsid w:val="00A04863"/>
    <w:rsid w:val="00A04DE7"/>
    <w:rsid w:val="00A052A2"/>
    <w:rsid w:val="00A0538D"/>
    <w:rsid w:val="00A06C65"/>
    <w:rsid w:val="00A075E6"/>
    <w:rsid w:val="00A077F0"/>
    <w:rsid w:val="00A105C0"/>
    <w:rsid w:val="00A10643"/>
    <w:rsid w:val="00A1115F"/>
    <w:rsid w:val="00A1148F"/>
    <w:rsid w:val="00A11C23"/>
    <w:rsid w:val="00A12798"/>
    <w:rsid w:val="00A1361D"/>
    <w:rsid w:val="00A13797"/>
    <w:rsid w:val="00A15F38"/>
    <w:rsid w:val="00A1609E"/>
    <w:rsid w:val="00A16E24"/>
    <w:rsid w:val="00A175A1"/>
    <w:rsid w:val="00A2145C"/>
    <w:rsid w:val="00A2331F"/>
    <w:rsid w:val="00A23339"/>
    <w:rsid w:val="00A23395"/>
    <w:rsid w:val="00A23FCD"/>
    <w:rsid w:val="00A2480F"/>
    <w:rsid w:val="00A24F7B"/>
    <w:rsid w:val="00A26852"/>
    <w:rsid w:val="00A277FC"/>
    <w:rsid w:val="00A30186"/>
    <w:rsid w:val="00A30BBD"/>
    <w:rsid w:val="00A3218C"/>
    <w:rsid w:val="00A327CC"/>
    <w:rsid w:val="00A34B63"/>
    <w:rsid w:val="00A35BB8"/>
    <w:rsid w:val="00A35DEB"/>
    <w:rsid w:val="00A370EC"/>
    <w:rsid w:val="00A37488"/>
    <w:rsid w:val="00A40F80"/>
    <w:rsid w:val="00A412D7"/>
    <w:rsid w:val="00A41820"/>
    <w:rsid w:val="00A41BCC"/>
    <w:rsid w:val="00A422AD"/>
    <w:rsid w:val="00A4427E"/>
    <w:rsid w:val="00A44E3F"/>
    <w:rsid w:val="00A4713B"/>
    <w:rsid w:val="00A4782F"/>
    <w:rsid w:val="00A50295"/>
    <w:rsid w:val="00A50363"/>
    <w:rsid w:val="00A50D05"/>
    <w:rsid w:val="00A5140C"/>
    <w:rsid w:val="00A51C44"/>
    <w:rsid w:val="00A529F7"/>
    <w:rsid w:val="00A533FC"/>
    <w:rsid w:val="00A55F73"/>
    <w:rsid w:val="00A5750D"/>
    <w:rsid w:val="00A57CC9"/>
    <w:rsid w:val="00A57FE7"/>
    <w:rsid w:val="00A601DB"/>
    <w:rsid w:val="00A610DC"/>
    <w:rsid w:val="00A61687"/>
    <w:rsid w:val="00A61C2B"/>
    <w:rsid w:val="00A63E82"/>
    <w:rsid w:val="00A64AA0"/>
    <w:rsid w:val="00A64EDC"/>
    <w:rsid w:val="00A6781C"/>
    <w:rsid w:val="00A67D0E"/>
    <w:rsid w:val="00A706BC"/>
    <w:rsid w:val="00A70CED"/>
    <w:rsid w:val="00A70D76"/>
    <w:rsid w:val="00A71B7A"/>
    <w:rsid w:val="00A722F6"/>
    <w:rsid w:val="00A72B90"/>
    <w:rsid w:val="00A75229"/>
    <w:rsid w:val="00A76D69"/>
    <w:rsid w:val="00A77278"/>
    <w:rsid w:val="00A77A86"/>
    <w:rsid w:val="00A77F6C"/>
    <w:rsid w:val="00A8321D"/>
    <w:rsid w:val="00A8401F"/>
    <w:rsid w:val="00A8538A"/>
    <w:rsid w:val="00A86535"/>
    <w:rsid w:val="00A86BBC"/>
    <w:rsid w:val="00A87529"/>
    <w:rsid w:val="00A87CB0"/>
    <w:rsid w:val="00A90403"/>
    <w:rsid w:val="00A94326"/>
    <w:rsid w:val="00A94646"/>
    <w:rsid w:val="00A953D2"/>
    <w:rsid w:val="00A957A6"/>
    <w:rsid w:val="00A95831"/>
    <w:rsid w:val="00A958A1"/>
    <w:rsid w:val="00A95DB0"/>
    <w:rsid w:val="00A96333"/>
    <w:rsid w:val="00A963F8"/>
    <w:rsid w:val="00A97104"/>
    <w:rsid w:val="00A97BD7"/>
    <w:rsid w:val="00A97D00"/>
    <w:rsid w:val="00AA09E6"/>
    <w:rsid w:val="00AA1337"/>
    <w:rsid w:val="00AA2BA6"/>
    <w:rsid w:val="00AB0B88"/>
    <w:rsid w:val="00AB23EF"/>
    <w:rsid w:val="00AB3331"/>
    <w:rsid w:val="00AC0692"/>
    <w:rsid w:val="00AC18C9"/>
    <w:rsid w:val="00AC2DD2"/>
    <w:rsid w:val="00AC461A"/>
    <w:rsid w:val="00AC4F8B"/>
    <w:rsid w:val="00AC60C2"/>
    <w:rsid w:val="00AD074F"/>
    <w:rsid w:val="00AD126F"/>
    <w:rsid w:val="00AD2400"/>
    <w:rsid w:val="00AD2DA6"/>
    <w:rsid w:val="00AD2DB1"/>
    <w:rsid w:val="00AD4B77"/>
    <w:rsid w:val="00AD4FCF"/>
    <w:rsid w:val="00AD5AF6"/>
    <w:rsid w:val="00AD6C1D"/>
    <w:rsid w:val="00AD749F"/>
    <w:rsid w:val="00AE14C0"/>
    <w:rsid w:val="00AE1FAA"/>
    <w:rsid w:val="00AE21F7"/>
    <w:rsid w:val="00AE23CA"/>
    <w:rsid w:val="00AE295E"/>
    <w:rsid w:val="00AE4238"/>
    <w:rsid w:val="00AE6600"/>
    <w:rsid w:val="00AE7F10"/>
    <w:rsid w:val="00AF0220"/>
    <w:rsid w:val="00AF1355"/>
    <w:rsid w:val="00AF1684"/>
    <w:rsid w:val="00AF19F9"/>
    <w:rsid w:val="00AF2280"/>
    <w:rsid w:val="00AF3A34"/>
    <w:rsid w:val="00AF4125"/>
    <w:rsid w:val="00AF534B"/>
    <w:rsid w:val="00AF54AF"/>
    <w:rsid w:val="00AF67A8"/>
    <w:rsid w:val="00AF7F73"/>
    <w:rsid w:val="00B00295"/>
    <w:rsid w:val="00B012D5"/>
    <w:rsid w:val="00B016CB"/>
    <w:rsid w:val="00B05335"/>
    <w:rsid w:val="00B10555"/>
    <w:rsid w:val="00B11879"/>
    <w:rsid w:val="00B12D88"/>
    <w:rsid w:val="00B130DE"/>
    <w:rsid w:val="00B14D22"/>
    <w:rsid w:val="00B16098"/>
    <w:rsid w:val="00B161A1"/>
    <w:rsid w:val="00B173E9"/>
    <w:rsid w:val="00B17F68"/>
    <w:rsid w:val="00B204E9"/>
    <w:rsid w:val="00B21108"/>
    <w:rsid w:val="00B21716"/>
    <w:rsid w:val="00B22207"/>
    <w:rsid w:val="00B231A3"/>
    <w:rsid w:val="00B231E9"/>
    <w:rsid w:val="00B257D7"/>
    <w:rsid w:val="00B31759"/>
    <w:rsid w:val="00B32310"/>
    <w:rsid w:val="00B34354"/>
    <w:rsid w:val="00B35C07"/>
    <w:rsid w:val="00B36CAF"/>
    <w:rsid w:val="00B36E16"/>
    <w:rsid w:val="00B37074"/>
    <w:rsid w:val="00B373A0"/>
    <w:rsid w:val="00B37521"/>
    <w:rsid w:val="00B379BE"/>
    <w:rsid w:val="00B413BF"/>
    <w:rsid w:val="00B4144E"/>
    <w:rsid w:val="00B41D35"/>
    <w:rsid w:val="00B43A32"/>
    <w:rsid w:val="00B44452"/>
    <w:rsid w:val="00B44806"/>
    <w:rsid w:val="00B46E82"/>
    <w:rsid w:val="00B47B1C"/>
    <w:rsid w:val="00B47ED5"/>
    <w:rsid w:val="00B50283"/>
    <w:rsid w:val="00B507F6"/>
    <w:rsid w:val="00B50C5C"/>
    <w:rsid w:val="00B50EAC"/>
    <w:rsid w:val="00B515D7"/>
    <w:rsid w:val="00B5251F"/>
    <w:rsid w:val="00B572C0"/>
    <w:rsid w:val="00B57F95"/>
    <w:rsid w:val="00B60494"/>
    <w:rsid w:val="00B61833"/>
    <w:rsid w:val="00B618C1"/>
    <w:rsid w:val="00B61B0D"/>
    <w:rsid w:val="00B628D2"/>
    <w:rsid w:val="00B6341C"/>
    <w:rsid w:val="00B64462"/>
    <w:rsid w:val="00B644C3"/>
    <w:rsid w:val="00B6481C"/>
    <w:rsid w:val="00B65593"/>
    <w:rsid w:val="00B666A8"/>
    <w:rsid w:val="00B66780"/>
    <w:rsid w:val="00B6704C"/>
    <w:rsid w:val="00B704C7"/>
    <w:rsid w:val="00B70A84"/>
    <w:rsid w:val="00B73240"/>
    <w:rsid w:val="00B75A5C"/>
    <w:rsid w:val="00B77D00"/>
    <w:rsid w:val="00B80767"/>
    <w:rsid w:val="00B8081D"/>
    <w:rsid w:val="00B80922"/>
    <w:rsid w:val="00B80F30"/>
    <w:rsid w:val="00B821D3"/>
    <w:rsid w:val="00B82FA3"/>
    <w:rsid w:val="00B83962"/>
    <w:rsid w:val="00B83E13"/>
    <w:rsid w:val="00B8405D"/>
    <w:rsid w:val="00B84E01"/>
    <w:rsid w:val="00B8597B"/>
    <w:rsid w:val="00B85F52"/>
    <w:rsid w:val="00B87B68"/>
    <w:rsid w:val="00B90FAA"/>
    <w:rsid w:val="00B91456"/>
    <w:rsid w:val="00B9228C"/>
    <w:rsid w:val="00B92E49"/>
    <w:rsid w:val="00B96973"/>
    <w:rsid w:val="00B96AD1"/>
    <w:rsid w:val="00B97D78"/>
    <w:rsid w:val="00BA092F"/>
    <w:rsid w:val="00BA156B"/>
    <w:rsid w:val="00BA2381"/>
    <w:rsid w:val="00BA3AF0"/>
    <w:rsid w:val="00BA596D"/>
    <w:rsid w:val="00BA68D6"/>
    <w:rsid w:val="00BB1973"/>
    <w:rsid w:val="00BB1D0E"/>
    <w:rsid w:val="00BB2D6E"/>
    <w:rsid w:val="00BB3C08"/>
    <w:rsid w:val="00BB444A"/>
    <w:rsid w:val="00BB5292"/>
    <w:rsid w:val="00BB54DB"/>
    <w:rsid w:val="00BB6954"/>
    <w:rsid w:val="00BB7652"/>
    <w:rsid w:val="00BB7A6B"/>
    <w:rsid w:val="00BC0846"/>
    <w:rsid w:val="00BC11FE"/>
    <w:rsid w:val="00BC2AAC"/>
    <w:rsid w:val="00BC4FB9"/>
    <w:rsid w:val="00BC5C06"/>
    <w:rsid w:val="00BC6410"/>
    <w:rsid w:val="00BC687D"/>
    <w:rsid w:val="00BC7492"/>
    <w:rsid w:val="00BD0329"/>
    <w:rsid w:val="00BD09FC"/>
    <w:rsid w:val="00BD0A8F"/>
    <w:rsid w:val="00BD2224"/>
    <w:rsid w:val="00BD2980"/>
    <w:rsid w:val="00BD333B"/>
    <w:rsid w:val="00BD3FA7"/>
    <w:rsid w:val="00BD49F5"/>
    <w:rsid w:val="00BD6259"/>
    <w:rsid w:val="00BE03D5"/>
    <w:rsid w:val="00BE16A9"/>
    <w:rsid w:val="00BE2636"/>
    <w:rsid w:val="00BE4B2B"/>
    <w:rsid w:val="00BE598C"/>
    <w:rsid w:val="00BE5BB7"/>
    <w:rsid w:val="00BE6C45"/>
    <w:rsid w:val="00BE70EB"/>
    <w:rsid w:val="00BF1A99"/>
    <w:rsid w:val="00BF2803"/>
    <w:rsid w:val="00BF2C69"/>
    <w:rsid w:val="00BF3044"/>
    <w:rsid w:val="00BF467F"/>
    <w:rsid w:val="00BF46C3"/>
    <w:rsid w:val="00BF6745"/>
    <w:rsid w:val="00BF76E5"/>
    <w:rsid w:val="00C02E85"/>
    <w:rsid w:val="00C03FBB"/>
    <w:rsid w:val="00C0723B"/>
    <w:rsid w:val="00C07BCE"/>
    <w:rsid w:val="00C10BB4"/>
    <w:rsid w:val="00C10F5E"/>
    <w:rsid w:val="00C11F01"/>
    <w:rsid w:val="00C12CD8"/>
    <w:rsid w:val="00C12F66"/>
    <w:rsid w:val="00C140CD"/>
    <w:rsid w:val="00C1641C"/>
    <w:rsid w:val="00C17D0D"/>
    <w:rsid w:val="00C21BE2"/>
    <w:rsid w:val="00C21C74"/>
    <w:rsid w:val="00C22582"/>
    <w:rsid w:val="00C22906"/>
    <w:rsid w:val="00C23FCB"/>
    <w:rsid w:val="00C241D9"/>
    <w:rsid w:val="00C24AB9"/>
    <w:rsid w:val="00C25144"/>
    <w:rsid w:val="00C255DB"/>
    <w:rsid w:val="00C2614F"/>
    <w:rsid w:val="00C263C5"/>
    <w:rsid w:val="00C309AD"/>
    <w:rsid w:val="00C335DB"/>
    <w:rsid w:val="00C3384D"/>
    <w:rsid w:val="00C34AEA"/>
    <w:rsid w:val="00C35B6C"/>
    <w:rsid w:val="00C36809"/>
    <w:rsid w:val="00C3682C"/>
    <w:rsid w:val="00C37F74"/>
    <w:rsid w:val="00C418B4"/>
    <w:rsid w:val="00C42994"/>
    <w:rsid w:val="00C435B1"/>
    <w:rsid w:val="00C43919"/>
    <w:rsid w:val="00C43D4C"/>
    <w:rsid w:val="00C4580C"/>
    <w:rsid w:val="00C479E5"/>
    <w:rsid w:val="00C53773"/>
    <w:rsid w:val="00C54821"/>
    <w:rsid w:val="00C5482A"/>
    <w:rsid w:val="00C54AAB"/>
    <w:rsid w:val="00C5709E"/>
    <w:rsid w:val="00C57DF3"/>
    <w:rsid w:val="00C60D9A"/>
    <w:rsid w:val="00C60FC9"/>
    <w:rsid w:val="00C6161A"/>
    <w:rsid w:val="00C61775"/>
    <w:rsid w:val="00C618EB"/>
    <w:rsid w:val="00C62143"/>
    <w:rsid w:val="00C62209"/>
    <w:rsid w:val="00C633F9"/>
    <w:rsid w:val="00C6398A"/>
    <w:rsid w:val="00C63D3C"/>
    <w:rsid w:val="00C63D8E"/>
    <w:rsid w:val="00C64303"/>
    <w:rsid w:val="00C645A5"/>
    <w:rsid w:val="00C65B40"/>
    <w:rsid w:val="00C66105"/>
    <w:rsid w:val="00C66251"/>
    <w:rsid w:val="00C66AF7"/>
    <w:rsid w:val="00C67578"/>
    <w:rsid w:val="00C676B4"/>
    <w:rsid w:val="00C6794A"/>
    <w:rsid w:val="00C70930"/>
    <w:rsid w:val="00C70DA1"/>
    <w:rsid w:val="00C715E6"/>
    <w:rsid w:val="00C8248F"/>
    <w:rsid w:val="00C82D3A"/>
    <w:rsid w:val="00C83EAE"/>
    <w:rsid w:val="00C841FE"/>
    <w:rsid w:val="00C91C02"/>
    <w:rsid w:val="00C9528C"/>
    <w:rsid w:val="00C95A48"/>
    <w:rsid w:val="00C95D73"/>
    <w:rsid w:val="00C9622E"/>
    <w:rsid w:val="00C972CB"/>
    <w:rsid w:val="00C97A5F"/>
    <w:rsid w:val="00CA1180"/>
    <w:rsid w:val="00CA246E"/>
    <w:rsid w:val="00CA34C6"/>
    <w:rsid w:val="00CA3FD6"/>
    <w:rsid w:val="00CA414F"/>
    <w:rsid w:val="00CA545B"/>
    <w:rsid w:val="00CB17A6"/>
    <w:rsid w:val="00CB188E"/>
    <w:rsid w:val="00CB1EF3"/>
    <w:rsid w:val="00CB252E"/>
    <w:rsid w:val="00CB2AD8"/>
    <w:rsid w:val="00CB3E79"/>
    <w:rsid w:val="00CB4344"/>
    <w:rsid w:val="00CB4F16"/>
    <w:rsid w:val="00CB71C1"/>
    <w:rsid w:val="00CC0CDF"/>
    <w:rsid w:val="00CC1452"/>
    <w:rsid w:val="00CC33F7"/>
    <w:rsid w:val="00CC364C"/>
    <w:rsid w:val="00CC6B1B"/>
    <w:rsid w:val="00CC78A4"/>
    <w:rsid w:val="00CD017B"/>
    <w:rsid w:val="00CD22B8"/>
    <w:rsid w:val="00CD5C0F"/>
    <w:rsid w:val="00CD6A5C"/>
    <w:rsid w:val="00CD7DE9"/>
    <w:rsid w:val="00CE2334"/>
    <w:rsid w:val="00CE2BFC"/>
    <w:rsid w:val="00CE2C4D"/>
    <w:rsid w:val="00CE2D60"/>
    <w:rsid w:val="00CE321B"/>
    <w:rsid w:val="00CE35BF"/>
    <w:rsid w:val="00CE6226"/>
    <w:rsid w:val="00CE64FB"/>
    <w:rsid w:val="00CE67AB"/>
    <w:rsid w:val="00CE7461"/>
    <w:rsid w:val="00CF023A"/>
    <w:rsid w:val="00CF0D32"/>
    <w:rsid w:val="00CF0DCA"/>
    <w:rsid w:val="00CF3C7E"/>
    <w:rsid w:val="00CF3F44"/>
    <w:rsid w:val="00CF5147"/>
    <w:rsid w:val="00CF5762"/>
    <w:rsid w:val="00CF5DCF"/>
    <w:rsid w:val="00CF6551"/>
    <w:rsid w:val="00CF67CF"/>
    <w:rsid w:val="00CF743A"/>
    <w:rsid w:val="00CF7AD3"/>
    <w:rsid w:val="00D027D0"/>
    <w:rsid w:val="00D04F3F"/>
    <w:rsid w:val="00D07513"/>
    <w:rsid w:val="00D115C6"/>
    <w:rsid w:val="00D11D83"/>
    <w:rsid w:val="00D12EE8"/>
    <w:rsid w:val="00D14267"/>
    <w:rsid w:val="00D14AA5"/>
    <w:rsid w:val="00D22231"/>
    <w:rsid w:val="00D22AB9"/>
    <w:rsid w:val="00D24137"/>
    <w:rsid w:val="00D26F8D"/>
    <w:rsid w:val="00D27481"/>
    <w:rsid w:val="00D27E46"/>
    <w:rsid w:val="00D30111"/>
    <w:rsid w:val="00D31E2C"/>
    <w:rsid w:val="00D323D7"/>
    <w:rsid w:val="00D32ADB"/>
    <w:rsid w:val="00D335C1"/>
    <w:rsid w:val="00D33839"/>
    <w:rsid w:val="00D34074"/>
    <w:rsid w:val="00D349A5"/>
    <w:rsid w:val="00D40468"/>
    <w:rsid w:val="00D40915"/>
    <w:rsid w:val="00D4184F"/>
    <w:rsid w:val="00D443FD"/>
    <w:rsid w:val="00D44692"/>
    <w:rsid w:val="00D447D9"/>
    <w:rsid w:val="00D44B86"/>
    <w:rsid w:val="00D45FB4"/>
    <w:rsid w:val="00D46EF2"/>
    <w:rsid w:val="00D47FF2"/>
    <w:rsid w:val="00D5113A"/>
    <w:rsid w:val="00D511A5"/>
    <w:rsid w:val="00D5230D"/>
    <w:rsid w:val="00D53402"/>
    <w:rsid w:val="00D5486E"/>
    <w:rsid w:val="00D553BE"/>
    <w:rsid w:val="00D60AAF"/>
    <w:rsid w:val="00D62A73"/>
    <w:rsid w:val="00D63603"/>
    <w:rsid w:val="00D64206"/>
    <w:rsid w:val="00D64A82"/>
    <w:rsid w:val="00D6591A"/>
    <w:rsid w:val="00D66840"/>
    <w:rsid w:val="00D708FB"/>
    <w:rsid w:val="00D70D63"/>
    <w:rsid w:val="00D73955"/>
    <w:rsid w:val="00D73DEF"/>
    <w:rsid w:val="00D74F58"/>
    <w:rsid w:val="00D75604"/>
    <w:rsid w:val="00D7603A"/>
    <w:rsid w:val="00D77595"/>
    <w:rsid w:val="00D77DDF"/>
    <w:rsid w:val="00D8037D"/>
    <w:rsid w:val="00D809E0"/>
    <w:rsid w:val="00D80C36"/>
    <w:rsid w:val="00D811DB"/>
    <w:rsid w:val="00D81A33"/>
    <w:rsid w:val="00D82F5F"/>
    <w:rsid w:val="00D84349"/>
    <w:rsid w:val="00D87334"/>
    <w:rsid w:val="00D91183"/>
    <w:rsid w:val="00D96BC3"/>
    <w:rsid w:val="00D97064"/>
    <w:rsid w:val="00DA1794"/>
    <w:rsid w:val="00DA24E2"/>
    <w:rsid w:val="00DA3B88"/>
    <w:rsid w:val="00DA502A"/>
    <w:rsid w:val="00DA5A03"/>
    <w:rsid w:val="00DA6259"/>
    <w:rsid w:val="00DA7C75"/>
    <w:rsid w:val="00DA7CC1"/>
    <w:rsid w:val="00DB3805"/>
    <w:rsid w:val="00DB435D"/>
    <w:rsid w:val="00DB49B1"/>
    <w:rsid w:val="00DB6010"/>
    <w:rsid w:val="00DB682B"/>
    <w:rsid w:val="00DB7340"/>
    <w:rsid w:val="00DB7B3A"/>
    <w:rsid w:val="00DB7BC2"/>
    <w:rsid w:val="00DC135B"/>
    <w:rsid w:val="00DC2CAB"/>
    <w:rsid w:val="00DC36AE"/>
    <w:rsid w:val="00DC3B86"/>
    <w:rsid w:val="00DC45CB"/>
    <w:rsid w:val="00DC49C3"/>
    <w:rsid w:val="00DC4F1E"/>
    <w:rsid w:val="00DC5AA8"/>
    <w:rsid w:val="00DC6D76"/>
    <w:rsid w:val="00DD23DB"/>
    <w:rsid w:val="00DD2DC1"/>
    <w:rsid w:val="00DD43E9"/>
    <w:rsid w:val="00DD504E"/>
    <w:rsid w:val="00DD591A"/>
    <w:rsid w:val="00DD60C6"/>
    <w:rsid w:val="00DD6252"/>
    <w:rsid w:val="00DD64F8"/>
    <w:rsid w:val="00DD6B23"/>
    <w:rsid w:val="00DE001A"/>
    <w:rsid w:val="00DE1E30"/>
    <w:rsid w:val="00DE1FD7"/>
    <w:rsid w:val="00DE2140"/>
    <w:rsid w:val="00DE223A"/>
    <w:rsid w:val="00DE2D08"/>
    <w:rsid w:val="00DE38E5"/>
    <w:rsid w:val="00DE3A28"/>
    <w:rsid w:val="00DE45D7"/>
    <w:rsid w:val="00DE5F87"/>
    <w:rsid w:val="00DE60F4"/>
    <w:rsid w:val="00DE72FD"/>
    <w:rsid w:val="00DE73AE"/>
    <w:rsid w:val="00DF0005"/>
    <w:rsid w:val="00DF19F2"/>
    <w:rsid w:val="00DF1B81"/>
    <w:rsid w:val="00DF2625"/>
    <w:rsid w:val="00DF2687"/>
    <w:rsid w:val="00DF2776"/>
    <w:rsid w:val="00DF3FFE"/>
    <w:rsid w:val="00DF68AD"/>
    <w:rsid w:val="00DF6AE7"/>
    <w:rsid w:val="00E01E6B"/>
    <w:rsid w:val="00E032D5"/>
    <w:rsid w:val="00E039C0"/>
    <w:rsid w:val="00E04299"/>
    <w:rsid w:val="00E049C2"/>
    <w:rsid w:val="00E05483"/>
    <w:rsid w:val="00E057D1"/>
    <w:rsid w:val="00E06339"/>
    <w:rsid w:val="00E06914"/>
    <w:rsid w:val="00E10E41"/>
    <w:rsid w:val="00E111D7"/>
    <w:rsid w:val="00E1135E"/>
    <w:rsid w:val="00E119C6"/>
    <w:rsid w:val="00E132CB"/>
    <w:rsid w:val="00E132E8"/>
    <w:rsid w:val="00E1350F"/>
    <w:rsid w:val="00E13870"/>
    <w:rsid w:val="00E1538D"/>
    <w:rsid w:val="00E17BD8"/>
    <w:rsid w:val="00E17E86"/>
    <w:rsid w:val="00E2039B"/>
    <w:rsid w:val="00E21406"/>
    <w:rsid w:val="00E21ADE"/>
    <w:rsid w:val="00E21D21"/>
    <w:rsid w:val="00E23B2F"/>
    <w:rsid w:val="00E23D42"/>
    <w:rsid w:val="00E244D0"/>
    <w:rsid w:val="00E2467B"/>
    <w:rsid w:val="00E24A3C"/>
    <w:rsid w:val="00E24F51"/>
    <w:rsid w:val="00E260B3"/>
    <w:rsid w:val="00E264DA"/>
    <w:rsid w:val="00E27759"/>
    <w:rsid w:val="00E30DD3"/>
    <w:rsid w:val="00E315D5"/>
    <w:rsid w:val="00E31746"/>
    <w:rsid w:val="00E35706"/>
    <w:rsid w:val="00E36881"/>
    <w:rsid w:val="00E3721D"/>
    <w:rsid w:val="00E37388"/>
    <w:rsid w:val="00E419B9"/>
    <w:rsid w:val="00E42F52"/>
    <w:rsid w:val="00E43AB6"/>
    <w:rsid w:val="00E43DF7"/>
    <w:rsid w:val="00E44B1A"/>
    <w:rsid w:val="00E46795"/>
    <w:rsid w:val="00E46DF4"/>
    <w:rsid w:val="00E46F38"/>
    <w:rsid w:val="00E4747B"/>
    <w:rsid w:val="00E52256"/>
    <w:rsid w:val="00E535B8"/>
    <w:rsid w:val="00E54CA5"/>
    <w:rsid w:val="00E56B50"/>
    <w:rsid w:val="00E6058C"/>
    <w:rsid w:val="00E60B09"/>
    <w:rsid w:val="00E61070"/>
    <w:rsid w:val="00E61332"/>
    <w:rsid w:val="00E6270E"/>
    <w:rsid w:val="00E62B43"/>
    <w:rsid w:val="00E63CA7"/>
    <w:rsid w:val="00E6472B"/>
    <w:rsid w:val="00E65BC5"/>
    <w:rsid w:val="00E65C9B"/>
    <w:rsid w:val="00E65D41"/>
    <w:rsid w:val="00E66523"/>
    <w:rsid w:val="00E703F1"/>
    <w:rsid w:val="00E72276"/>
    <w:rsid w:val="00E72E5A"/>
    <w:rsid w:val="00E72EDC"/>
    <w:rsid w:val="00E73831"/>
    <w:rsid w:val="00E76458"/>
    <w:rsid w:val="00E76744"/>
    <w:rsid w:val="00E76F7B"/>
    <w:rsid w:val="00E77D37"/>
    <w:rsid w:val="00E77F0D"/>
    <w:rsid w:val="00E80876"/>
    <w:rsid w:val="00E81B12"/>
    <w:rsid w:val="00E83972"/>
    <w:rsid w:val="00E84E80"/>
    <w:rsid w:val="00E86E0B"/>
    <w:rsid w:val="00E879B2"/>
    <w:rsid w:val="00E92C47"/>
    <w:rsid w:val="00E93090"/>
    <w:rsid w:val="00E93AD4"/>
    <w:rsid w:val="00E944E8"/>
    <w:rsid w:val="00E960BA"/>
    <w:rsid w:val="00EA00F5"/>
    <w:rsid w:val="00EA09F3"/>
    <w:rsid w:val="00EA11A3"/>
    <w:rsid w:val="00EA420C"/>
    <w:rsid w:val="00EA47C2"/>
    <w:rsid w:val="00EA6760"/>
    <w:rsid w:val="00EA7C41"/>
    <w:rsid w:val="00EA7D73"/>
    <w:rsid w:val="00EB0032"/>
    <w:rsid w:val="00EB1224"/>
    <w:rsid w:val="00EB28BB"/>
    <w:rsid w:val="00EB35DA"/>
    <w:rsid w:val="00EB4F2D"/>
    <w:rsid w:val="00EB6DFC"/>
    <w:rsid w:val="00EB75FD"/>
    <w:rsid w:val="00EB7641"/>
    <w:rsid w:val="00EB773B"/>
    <w:rsid w:val="00EC0020"/>
    <w:rsid w:val="00EC0B90"/>
    <w:rsid w:val="00EC0EC1"/>
    <w:rsid w:val="00EC1018"/>
    <w:rsid w:val="00EC132C"/>
    <w:rsid w:val="00EC17E2"/>
    <w:rsid w:val="00EC2D8C"/>
    <w:rsid w:val="00EC4525"/>
    <w:rsid w:val="00EC5F80"/>
    <w:rsid w:val="00EC68BC"/>
    <w:rsid w:val="00EC6BE2"/>
    <w:rsid w:val="00EC728A"/>
    <w:rsid w:val="00EC7F1C"/>
    <w:rsid w:val="00ED0BA8"/>
    <w:rsid w:val="00ED15FC"/>
    <w:rsid w:val="00ED23AD"/>
    <w:rsid w:val="00ED41C6"/>
    <w:rsid w:val="00ED4F50"/>
    <w:rsid w:val="00ED5203"/>
    <w:rsid w:val="00ED5287"/>
    <w:rsid w:val="00ED584F"/>
    <w:rsid w:val="00ED6CC6"/>
    <w:rsid w:val="00EE0A78"/>
    <w:rsid w:val="00EE3E65"/>
    <w:rsid w:val="00EE7DB7"/>
    <w:rsid w:val="00EF085F"/>
    <w:rsid w:val="00EF133B"/>
    <w:rsid w:val="00EF1CA8"/>
    <w:rsid w:val="00EF3FA2"/>
    <w:rsid w:val="00EF4367"/>
    <w:rsid w:val="00EF45C0"/>
    <w:rsid w:val="00EF5047"/>
    <w:rsid w:val="00EF5CFB"/>
    <w:rsid w:val="00F00B53"/>
    <w:rsid w:val="00F01087"/>
    <w:rsid w:val="00F01921"/>
    <w:rsid w:val="00F01B74"/>
    <w:rsid w:val="00F02754"/>
    <w:rsid w:val="00F02A2E"/>
    <w:rsid w:val="00F0302F"/>
    <w:rsid w:val="00F038A0"/>
    <w:rsid w:val="00F06738"/>
    <w:rsid w:val="00F07934"/>
    <w:rsid w:val="00F106F4"/>
    <w:rsid w:val="00F11A21"/>
    <w:rsid w:val="00F12B30"/>
    <w:rsid w:val="00F14DE3"/>
    <w:rsid w:val="00F15B64"/>
    <w:rsid w:val="00F15E78"/>
    <w:rsid w:val="00F16085"/>
    <w:rsid w:val="00F16CA6"/>
    <w:rsid w:val="00F17648"/>
    <w:rsid w:val="00F17913"/>
    <w:rsid w:val="00F20B9B"/>
    <w:rsid w:val="00F20E60"/>
    <w:rsid w:val="00F21D9C"/>
    <w:rsid w:val="00F23924"/>
    <w:rsid w:val="00F23A8B"/>
    <w:rsid w:val="00F23B4B"/>
    <w:rsid w:val="00F2474D"/>
    <w:rsid w:val="00F24D99"/>
    <w:rsid w:val="00F25630"/>
    <w:rsid w:val="00F2585B"/>
    <w:rsid w:val="00F2667D"/>
    <w:rsid w:val="00F26D6D"/>
    <w:rsid w:val="00F275E5"/>
    <w:rsid w:val="00F3078E"/>
    <w:rsid w:val="00F30793"/>
    <w:rsid w:val="00F31FC3"/>
    <w:rsid w:val="00F324D6"/>
    <w:rsid w:val="00F33130"/>
    <w:rsid w:val="00F343E3"/>
    <w:rsid w:val="00F34E7C"/>
    <w:rsid w:val="00F3598E"/>
    <w:rsid w:val="00F36F0B"/>
    <w:rsid w:val="00F400F6"/>
    <w:rsid w:val="00F403C2"/>
    <w:rsid w:val="00F40736"/>
    <w:rsid w:val="00F40CA0"/>
    <w:rsid w:val="00F40E31"/>
    <w:rsid w:val="00F425A6"/>
    <w:rsid w:val="00F42D83"/>
    <w:rsid w:val="00F43708"/>
    <w:rsid w:val="00F43EAB"/>
    <w:rsid w:val="00F4473A"/>
    <w:rsid w:val="00F45B24"/>
    <w:rsid w:val="00F46A8C"/>
    <w:rsid w:val="00F47C90"/>
    <w:rsid w:val="00F50DFB"/>
    <w:rsid w:val="00F52DAF"/>
    <w:rsid w:val="00F539EE"/>
    <w:rsid w:val="00F53FF8"/>
    <w:rsid w:val="00F54BFE"/>
    <w:rsid w:val="00F55269"/>
    <w:rsid w:val="00F57CB3"/>
    <w:rsid w:val="00F618CA"/>
    <w:rsid w:val="00F6230A"/>
    <w:rsid w:val="00F6281E"/>
    <w:rsid w:val="00F6303B"/>
    <w:rsid w:val="00F63958"/>
    <w:rsid w:val="00F663AA"/>
    <w:rsid w:val="00F66B5F"/>
    <w:rsid w:val="00F671A6"/>
    <w:rsid w:val="00F67849"/>
    <w:rsid w:val="00F7031C"/>
    <w:rsid w:val="00F705B6"/>
    <w:rsid w:val="00F7108D"/>
    <w:rsid w:val="00F723CE"/>
    <w:rsid w:val="00F728C8"/>
    <w:rsid w:val="00F74208"/>
    <w:rsid w:val="00F759EB"/>
    <w:rsid w:val="00F75A45"/>
    <w:rsid w:val="00F80AE3"/>
    <w:rsid w:val="00F814AE"/>
    <w:rsid w:val="00F82070"/>
    <w:rsid w:val="00F82236"/>
    <w:rsid w:val="00F82C31"/>
    <w:rsid w:val="00F85371"/>
    <w:rsid w:val="00F85438"/>
    <w:rsid w:val="00F860F8"/>
    <w:rsid w:val="00F8791C"/>
    <w:rsid w:val="00F90026"/>
    <w:rsid w:val="00F90FE4"/>
    <w:rsid w:val="00F92BAB"/>
    <w:rsid w:val="00F92F57"/>
    <w:rsid w:val="00F93207"/>
    <w:rsid w:val="00F94914"/>
    <w:rsid w:val="00F9687D"/>
    <w:rsid w:val="00F969FE"/>
    <w:rsid w:val="00F96C7B"/>
    <w:rsid w:val="00F97933"/>
    <w:rsid w:val="00FA11AB"/>
    <w:rsid w:val="00FA222C"/>
    <w:rsid w:val="00FA2B46"/>
    <w:rsid w:val="00FA4219"/>
    <w:rsid w:val="00FA52D1"/>
    <w:rsid w:val="00FA577D"/>
    <w:rsid w:val="00FA6CF6"/>
    <w:rsid w:val="00FB12C4"/>
    <w:rsid w:val="00FB25DE"/>
    <w:rsid w:val="00FB36E6"/>
    <w:rsid w:val="00FB4E95"/>
    <w:rsid w:val="00FB65C2"/>
    <w:rsid w:val="00FB6615"/>
    <w:rsid w:val="00FB6B0E"/>
    <w:rsid w:val="00FB7212"/>
    <w:rsid w:val="00FC0FA6"/>
    <w:rsid w:val="00FC2447"/>
    <w:rsid w:val="00FC282C"/>
    <w:rsid w:val="00FC48C3"/>
    <w:rsid w:val="00FC60DD"/>
    <w:rsid w:val="00FC7793"/>
    <w:rsid w:val="00FD22ED"/>
    <w:rsid w:val="00FD246B"/>
    <w:rsid w:val="00FD2480"/>
    <w:rsid w:val="00FD3307"/>
    <w:rsid w:val="00FD5298"/>
    <w:rsid w:val="00FD5736"/>
    <w:rsid w:val="00FD5A3E"/>
    <w:rsid w:val="00FD5EBA"/>
    <w:rsid w:val="00FD77B3"/>
    <w:rsid w:val="00FD7A6E"/>
    <w:rsid w:val="00FE18BD"/>
    <w:rsid w:val="00FE260A"/>
    <w:rsid w:val="00FE4DF6"/>
    <w:rsid w:val="00FE5592"/>
    <w:rsid w:val="00FE75E4"/>
    <w:rsid w:val="00FE7879"/>
    <w:rsid w:val="00FF07C6"/>
    <w:rsid w:val="00FF0BEF"/>
    <w:rsid w:val="00FF1936"/>
    <w:rsid w:val="00FF24E5"/>
    <w:rsid w:val="00FF30B7"/>
    <w:rsid w:val="00FF36A1"/>
    <w:rsid w:val="00FF43D4"/>
    <w:rsid w:val="00FF79E8"/>
    <w:rsid w:val="054233C7"/>
    <w:rsid w:val="08862206"/>
    <w:rsid w:val="0B16003B"/>
    <w:rsid w:val="1D1B5FDA"/>
    <w:rsid w:val="1F10632C"/>
    <w:rsid w:val="2C8E2DBF"/>
    <w:rsid w:val="2EE02CE9"/>
    <w:rsid w:val="3F1578B3"/>
    <w:rsid w:val="4B5E2C1B"/>
    <w:rsid w:val="4C2B733D"/>
    <w:rsid w:val="56BA6428"/>
    <w:rsid w:val="572878DC"/>
    <w:rsid w:val="609918A7"/>
    <w:rsid w:val="621C5B3D"/>
    <w:rsid w:val="73BF1A72"/>
    <w:rsid w:val="75E83B9B"/>
    <w:rsid w:val="76614356"/>
    <w:rsid w:val="7A8E7E74"/>
    <w:rsid w:val="7D5B68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44"/>
    <w:qFormat/>
    <w:uiPriority w:val="9"/>
    <w:pPr>
      <w:keepNext/>
      <w:keepLines/>
      <w:spacing w:before="340" w:after="330" w:line="578" w:lineRule="auto"/>
      <w:outlineLvl w:val="0"/>
    </w:pPr>
    <w:rPr>
      <w:b/>
      <w:bCs/>
      <w:kern w:val="44"/>
      <w:sz w:val="44"/>
      <w:szCs w:val="44"/>
    </w:rPr>
  </w:style>
  <w:style w:type="paragraph" w:styleId="5">
    <w:name w:val="heading 3"/>
    <w:basedOn w:val="1"/>
    <w:next w:val="1"/>
    <w:link w:val="30"/>
    <w:qFormat/>
    <w:uiPriority w:val="0"/>
    <w:pPr>
      <w:keepNext/>
      <w:keepLines/>
      <w:spacing w:before="260" w:after="260" w:line="416" w:lineRule="auto"/>
      <w:outlineLvl w:val="2"/>
    </w:pPr>
    <w:rPr>
      <w:rFonts w:ascii="Times New Roman" w:hAnsi="Times New Roman" w:eastAsia="宋体" w:cs="Times New Roman"/>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39"/>
    <w:unhideWhenUsed/>
    <w:qFormat/>
    <w:uiPriority w:val="99"/>
    <w:pPr>
      <w:spacing w:after="120"/>
    </w:pPr>
    <w:rPr>
      <w:rFonts w:ascii="Calibri" w:hAnsi="Calibri" w:eastAsia="宋体" w:cs="Calibri"/>
      <w:szCs w:val="21"/>
    </w:rPr>
  </w:style>
  <w:style w:type="paragraph" w:styleId="3">
    <w:name w:val="Body Text First Indent"/>
    <w:basedOn w:val="2"/>
    <w:link w:val="40"/>
    <w:semiHidden/>
    <w:unhideWhenUsed/>
    <w:qFormat/>
    <w:uiPriority w:val="99"/>
    <w:pPr>
      <w:ind w:firstLine="420" w:firstLineChars="100"/>
    </w:pPr>
    <w:rPr>
      <w:rFonts w:asciiTheme="minorHAnsi" w:hAnsiTheme="minorHAnsi" w:eastAsiaTheme="minorEastAsia" w:cstheme="minorBidi"/>
      <w:szCs w:val="22"/>
    </w:rPr>
  </w:style>
  <w:style w:type="paragraph" w:styleId="6">
    <w:name w:val="annotation text"/>
    <w:basedOn w:val="1"/>
    <w:link w:val="37"/>
    <w:semiHidden/>
    <w:unhideWhenUsed/>
    <w:qFormat/>
    <w:uiPriority w:val="99"/>
    <w:pPr>
      <w:jc w:val="left"/>
    </w:pPr>
  </w:style>
  <w:style w:type="paragraph" w:styleId="7">
    <w:name w:val="Body Text Indent"/>
    <w:basedOn w:val="1"/>
    <w:link w:val="27"/>
    <w:qFormat/>
    <w:uiPriority w:val="0"/>
    <w:pPr>
      <w:ind w:firstLine="630"/>
    </w:pPr>
    <w:rPr>
      <w:rFonts w:ascii="Times New Roman" w:hAnsi="Times New Roman" w:eastAsia="宋体" w:cs="Times New Roman"/>
      <w:sz w:val="32"/>
      <w:szCs w:val="20"/>
    </w:rPr>
  </w:style>
  <w:style w:type="paragraph" w:styleId="8">
    <w:name w:val="toc 3"/>
    <w:basedOn w:val="1"/>
    <w:next w:val="1"/>
    <w:unhideWhenUsed/>
    <w:qFormat/>
    <w:uiPriority w:val="39"/>
    <w:pPr>
      <w:widowControl/>
      <w:spacing w:after="100" w:line="259" w:lineRule="auto"/>
      <w:ind w:left="440"/>
      <w:jc w:val="left"/>
    </w:pPr>
    <w:rPr>
      <w:rFonts w:cs="Times New Roman"/>
      <w:kern w:val="0"/>
      <w:sz w:val="22"/>
    </w:rPr>
  </w:style>
  <w:style w:type="paragraph" w:styleId="9">
    <w:name w:val="Date"/>
    <w:basedOn w:val="1"/>
    <w:next w:val="1"/>
    <w:link w:val="26"/>
    <w:semiHidden/>
    <w:unhideWhenUsed/>
    <w:qFormat/>
    <w:uiPriority w:val="99"/>
    <w:pPr>
      <w:ind w:left="100" w:leftChars="2500"/>
    </w:pPr>
  </w:style>
  <w:style w:type="paragraph" w:styleId="10">
    <w:name w:val="Balloon Text"/>
    <w:basedOn w:val="1"/>
    <w:link w:val="23"/>
    <w:semiHidden/>
    <w:unhideWhenUsed/>
    <w:qFormat/>
    <w:uiPriority w:val="99"/>
    <w:rPr>
      <w:sz w:val="18"/>
      <w:szCs w:val="18"/>
    </w:rPr>
  </w:style>
  <w:style w:type="paragraph" w:styleId="11">
    <w:name w:val="footer"/>
    <w:basedOn w:val="1"/>
    <w:link w:val="25"/>
    <w:unhideWhenUsed/>
    <w:qFormat/>
    <w:uiPriority w:val="99"/>
    <w:pPr>
      <w:tabs>
        <w:tab w:val="center" w:pos="4153"/>
        <w:tab w:val="right" w:pos="8306"/>
      </w:tabs>
      <w:snapToGrid w:val="0"/>
      <w:jc w:val="left"/>
    </w:pPr>
    <w:rPr>
      <w:sz w:val="18"/>
      <w:szCs w:val="18"/>
    </w:rPr>
  </w:style>
  <w:style w:type="paragraph" w:styleId="12">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oc 2"/>
    <w:basedOn w:val="1"/>
    <w:next w:val="1"/>
    <w:unhideWhenUsed/>
    <w:qFormat/>
    <w:uiPriority w:val="39"/>
    <w:pPr>
      <w:widowControl/>
      <w:spacing w:after="100" w:line="259" w:lineRule="auto"/>
      <w:ind w:left="220"/>
      <w:jc w:val="left"/>
    </w:pPr>
    <w:rPr>
      <w:rFonts w:cs="Times New Roman"/>
      <w:kern w:val="0"/>
      <w:sz w:val="22"/>
    </w:rPr>
  </w:style>
  <w:style w:type="paragraph" w:styleId="15">
    <w:name w:val="annotation subject"/>
    <w:basedOn w:val="6"/>
    <w:next w:val="6"/>
    <w:link w:val="38"/>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000FF" w:themeColor="hyperlink"/>
      <w:u w:val="single"/>
    </w:rPr>
  </w:style>
  <w:style w:type="character" w:styleId="20">
    <w:name w:val="annotation reference"/>
    <w:basedOn w:val="18"/>
    <w:semiHidden/>
    <w:unhideWhenUsed/>
    <w:qFormat/>
    <w:uiPriority w:val="99"/>
    <w:rPr>
      <w:sz w:val="21"/>
      <w:szCs w:val="21"/>
    </w:rPr>
  </w:style>
  <w:style w:type="character" w:customStyle="1" w:styleId="21">
    <w:name w:val="标题 1 字符"/>
    <w:basedOn w:val="18"/>
    <w:link w:val="4"/>
    <w:qFormat/>
    <w:uiPriority w:val="9"/>
    <w:rPr>
      <w:b/>
      <w:bCs/>
      <w:kern w:val="44"/>
      <w:sz w:val="44"/>
      <w:szCs w:val="44"/>
    </w:rPr>
  </w:style>
  <w:style w:type="paragraph" w:customStyle="1" w:styleId="22">
    <w:name w:val="TOC Heading"/>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23">
    <w:name w:val="批注框文本 字符"/>
    <w:basedOn w:val="18"/>
    <w:link w:val="10"/>
    <w:semiHidden/>
    <w:qFormat/>
    <w:uiPriority w:val="99"/>
    <w:rPr>
      <w:sz w:val="18"/>
      <w:szCs w:val="18"/>
    </w:rPr>
  </w:style>
  <w:style w:type="character" w:customStyle="1" w:styleId="24">
    <w:name w:val="页眉 字符"/>
    <w:basedOn w:val="18"/>
    <w:link w:val="12"/>
    <w:qFormat/>
    <w:uiPriority w:val="99"/>
    <w:rPr>
      <w:sz w:val="18"/>
      <w:szCs w:val="18"/>
    </w:rPr>
  </w:style>
  <w:style w:type="character" w:customStyle="1" w:styleId="25">
    <w:name w:val="页脚 字符"/>
    <w:basedOn w:val="18"/>
    <w:link w:val="11"/>
    <w:qFormat/>
    <w:uiPriority w:val="99"/>
    <w:rPr>
      <w:sz w:val="18"/>
      <w:szCs w:val="18"/>
    </w:rPr>
  </w:style>
  <w:style w:type="character" w:customStyle="1" w:styleId="26">
    <w:name w:val="日期 字符"/>
    <w:basedOn w:val="18"/>
    <w:link w:val="9"/>
    <w:semiHidden/>
    <w:qFormat/>
    <w:uiPriority w:val="99"/>
  </w:style>
  <w:style w:type="character" w:customStyle="1" w:styleId="27">
    <w:name w:val="正文文本缩进 字符"/>
    <w:basedOn w:val="18"/>
    <w:link w:val="7"/>
    <w:qFormat/>
    <w:uiPriority w:val="0"/>
    <w:rPr>
      <w:rFonts w:ascii="Times New Roman" w:hAnsi="Times New Roman" w:eastAsia="宋体" w:cs="Times New Roman"/>
      <w:sz w:val="32"/>
      <w:szCs w:val="20"/>
    </w:rPr>
  </w:style>
  <w:style w:type="paragraph" w:customStyle="1" w:styleId="28">
    <w:name w:val="正文首行缩进两字符"/>
    <w:basedOn w:val="1"/>
    <w:qFormat/>
    <w:uiPriority w:val="0"/>
    <w:pPr>
      <w:spacing w:line="360" w:lineRule="auto"/>
      <w:ind w:firstLine="200" w:firstLineChars="200"/>
    </w:pPr>
    <w:rPr>
      <w:rFonts w:ascii="Times New Roman" w:hAnsi="Times New Roman" w:eastAsia="宋体" w:cs="Times New Roman"/>
      <w:szCs w:val="24"/>
    </w:rPr>
  </w:style>
  <w:style w:type="paragraph" w:styleId="29">
    <w:name w:val="List Paragraph"/>
    <w:basedOn w:val="1"/>
    <w:qFormat/>
    <w:uiPriority w:val="34"/>
    <w:pPr>
      <w:ind w:firstLine="420" w:firstLineChars="200"/>
    </w:pPr>
  </w:style>
  <w:style w:type="character" w:customStyle="1" w:styleId="30">
    <w:name w:val="标题 3 字符"/>
    <w:basedOn w:val="18"/>
    <w:link w:val="5"/>
    <w:qFormat/>
    <w:uiPriority w:val="0"/>
    <w:rPr>
      <w:rFonts w:ascii="Times New Roman" w:hAnsi="Times New Roman" w:eastAsia="宋体" w:cs="Times New Roman"/>
      <w:b/>
      <w:bCs/>
      <w:sz w:val="32"/>
      <w:szCs w:val="32"/>
    </w:rPr>
  </w:style>
  <w:style w:type="paragraph" w:customStyle="1" w:styleId="31">
    <w:name w:val="样式"/>
    <w:qFormat/>
    <w:uiPriority w:val="0"/>
    <w:pPr>
      <w:widowControl w:val="0"/>
      <w:autoSpaceDE w:val="0"/>
      <w:autoSpaceDN w:val="0"/>
      <w:adjustRightInd w:val="0"/>
    </w:pPr>
    <w:rPr>
      <w:rFonts w:ascii="宋体" w:hAnsi="宋体" w:eastAsia="宋体" w:cs="宋体"/>
      <w:kern w:val="0"/>
      <w:sz w:val="24"/>
      <w:szCs w:val="24"/>
      <w:lang w:val="en-US" w:eastAsia="zh-CN" w:bidi="ar-SA"/>
    </w:rPr>
  </w:style>
  <w:style w:type="character" w:customStyle="1" w:styleId="32">
    <w:name w:val="Unresolved Mention"/>
    <w:basedOn w:val="18"/>
    <w:semiHidden/>
    <w:unhideWhenUsed/>
    <w:qFormat/>
    <w:uiPriority w:val="99"/>
    <w:rPr>
      <w:color w:val="605E5C"/>
      <w:shd w:val="clear" w:color="auto" w:fill="E1DFDD"/>
    </w:rPr>
  </w:style>
  <w:style w:type="paragraph" w:customStyle="1" w:styleId="33">
    <w:name w:val="Default"/>
    <w:link w:val="34"/>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character" w:customStyle="1" w:styleId="34">
    <w:name w:val="Default Char"/>
    <w:link w:val="33"/>
    <w:qFormat/>
    <w:uiPriority w:val="0"/>
    <w:rPr>
      <w:rFonts w:ascii="宋体" w:hAnsi="Times New Roman" w:eastAsia="宋体" w:cs="宋体"/>
      <w:color w:val="000000"/>
      <w:kern w:val="0"/>
      <w:sz w:val="24"/>
      <w:szCs w:val="24"/>
    </w:rPr>
  </w:style>
  <w:style w:type="paragraph" w:customStyle="1" w:styleId="35">
    <w:name w:val="Normal_0"/>
    <w:qFormat/>
    <w:uiPriority w:val="0"/>
    <w:rPr>
      <w:rFonts w:ascii="Times New Roman" w:hAnsi="Times New Roman" w:eastAsia="Times New Roman" w:cs="Times New Roman"/>
      <w:kern w:val="0"/>
      <w:sz w:val="24"/>
      <w:szCs w:val="24"/>
      <w:lang w:val="en-US" w:eastAsia="zh-CN" w:bidi="ar-SA"/>
    </w:rPr>
  </w:style>
  <w:style w:type="character" w:customStyle="1" w:styleId="36">
    <w:name w:val="未处理的提及1"/>
    <w:basedOn w:val="18"/>
    <w:semiHidden/>
    <w:unhideWhenUsed/>
    <w:qFormat/>
    <w:uiPriority w:val="99"/>
    <w:rPr>
      <w:color w:val="605E5C"/>
      <w:shd w:val="clear" w:color="auto" w:fill="E1DFDD"/>
    </w:rPr>
  </w:style>
  <w:style w:type="character" w:customStyle="1" w:styleId="37">
    <w:name w:val="批注文字 字符"/>
    <w:basedOn w:val="18"/>
    <w:link w:val="6"/>
    <w:semiHidden/>
    <w:qFormat/>
    <w:uiPriority w:val="99"/>
  </w:style>
  <w:style w:type="character" w:customStyle="1" w:styleId="38">
    <w:name w:val="批注主题 字符"/>
    <w:basedOn w:val="37"/>
    <w:link w:val="15"/>
    <w:semiHidden/>
    <w:qFormat/>
    <w:uiPriority w:val="99"/>
    <w:rPr>
      <w:b/>
      <w:bCs/>
    </w:rPr>
  </w:style>
  <w:style w:type="character" w:customStyle="1" w:styleId="39">
    <w:name w:val="正文文本 字符"/>
    <w:basedOn w:val="18"/>
    <w:link w:val="2"/>
    <w:qFormat/>
    <w:uiPriority w:val="99"/>
    <w:rPr>
      <w:rFonts w:ascii="Calibri" w:hAnsi="Calibri" w:eastAsia="宋体" w:cs="Calibri"/>
      <w:szCs w:val="21"/>
    </w:rPr>
  </w:style>
  <w:style w:type="character" w:customStyle="1" w:styleId="40">
    <w:name w:val="正文文本首行缩进 字符"/>
    <w:basedOn w:val="39"/>
    <w:link w:val="3"/>
    <w:semiHidden/>
    <w:qFormat/>
    <w:uiPriority w:val="99"/>
    <w:rPr>
      <w:rFonts w:ascii="Calibri" w:hAnsi="Calibri" w:eastAsia="宋体" w:cs="Calibri"/>
      <w:szCs w:val="21"/>
    </w:rPr>
  </w:style>
  <w:style w:type="character" w:customStyle="1" w:styleId="41">
    <w:name w:val="font11"/>
    <w:basedOn w:val="18"/>
    <w:qFormat/>
    <w:uiPriority w:val="0"/>
    <w:rPr>
      <w:rFonts w:hint="eastAsia" w:ascii="宋体" w:hAnsi="宋体" w:eastAsia="宋体" w:cs="宋体"/>
      <w:color w:val="000000"/>
      <w:sz w:val="18"/>
      <w:szCs w:val="18"/>
      <w:u w:val="none"/>
    </w:rPr>
  </w:style>
  <w:style w:type="character" w:customStyle="1" w:styleId="42">
    <w:name w:val="font81"/>
    <w:basedOn w:val="18"/>
    <w:qFormat/>
    <w:uiPriority w:val="0"/>
    <w:rPr>
      <w:rFonts w:hint="eastAsia" w:ascii="宋体" w:hAnsi="宋体" w:eastAsia="宋体" w:cs="宋体"/>
      <w:color w:val="FF0000"/>
      <w:sz w:val="18"/>
      <w:szCs w:val="18"/>
      <w:u w:val="none"/>
    </w:rPr>
  </w:style>
  <w:style w:type="character" w:customStyle="1" w:styleId="43">
    <w:name w:val="font71"/>
    <w:basedOn w:val="18"/>
    <w:qFormat/>
    <w:uiPriority w:val="0"/>
    <w:rPr>
      <w:rFonts w:hint="eastAsia" w:ascii="宋体" w:hAnsi="宋体" w:eastAsia="宋体" w:cs="宋体"/>
      <w:color w:val="000000"/>
      <w:sz w:val="18"/>
      <w:szCs w:val="18"/>
      <w:u w:val="none"/>
    </w:rPr>
  </w:style>
  <w:style w:type="character" w:customStyle="1" w:styleId="44">
    <w:name w:val="标题 1 Char"/>
    <w:link w:val="4"/>
    <w:qFormat/>
    <w:uiPriority w:val="9"/>
    <w:rPr>
      <w:rFonts w:ascii="Calibri" w:hAnsi="Calibri" w:eastAsia="宋体" w:cs="Times New Roman"/>
      <w:b/>
      <w:bCs/>
      <w:kern w:val="44"/>
      <w:sz w:val="44"/>
      <w:szCs w:val="44"/>
    </w:rPr>
  </w:style>
  <w:style w:type="paragraph" w:customStyle="1" w:styleId="45">
    <w:name w:val="正文_0"/>
    <w:qFormat/>
    <w:uiPriority w:val="0"/>
    <w:pPr>
      <w:widowControl w:val="0"/>
      <w:jc w:val="both"/>
    </w:pPr>
    <w:rPr>
      <w:rFonts w:ascii="宋体" w:hAnsi="宋体" w:eastAsia="宋体" w:cs="宋体"/>
      <w:kern w:val="2"/>
      <w:sz w:val="21"/>
      <w:szCs w:val="22"/>
      <w:lang w:val="en-US" w:eastAsia="zh-CN" w:bidi="ar-SA"/>
    </w:rPr>
  </w:style>
  <w:style w:type="paragraph" w:customStyle="1" w:styleId="46">
    <w:name w:val="13、表格内居中正文"/>
    <w:basedOn w:val="1"/>
    <w:qFormat/>
    <w:uiPriority w:val="0"/>
    <w:pPr>
      <w:widowControl w:val="0"/>
      <w:tabs>
        <w:tab w:val="left" w:pos="0"/>
      </w:tabs>
      <w:wordWrap w:val="0"/>
      <w:topLinePunct/>
      <w:spacing w:line="360" w:lineRule="exact"/>
      <w:jc w:val="center"/>
    </w:pPr>
    <w:rPr>
      <w:rFonts w:ascii="宋体" w:hAnsi="宋体"/>
    </w:rPr>
  </w:style>
  <w:style w:type="paragraph" w:customStyle="1" w:styleId="47">
    <w:name w:val="12、表格内左对齐正文"/>
    <w:basedOn w:val="1"/>
    <w:qFormat/>
    <w:uiPriority w:val="0"/>
    <w:pPr>
      <w:widowControl w:val="0"/>
      <w:tabs>
        <w:tab w:val="left" w:pos="0"/>
      </w:tabs>
      <w:wordWrap w:val="0"/>
      <w:topLinePunct/>
      <w:snapToGrid w:val="0"/>
      <w:spacing w:line="360" w:lineRule="exact"/>
      <w:ind w:left="48" w:leftChars="20"/>
    </w:pPr>
    <w:rPr>
      <w:rFonts w:ascii="宋体" w:hAnsi="宋体"/>
    </w:rPr>
  </w:style>
  <w:style w:type="character" w:customStyle="1" w:styleId="48">
    <w:name w:val="font21"/>
    <w:basedOn w:val="18"/>
    <w:uiPriority w:val="0"/>
    <w:rPr>
      <w:rFonts w:hint="eastAsia" w:ascii="宋体" w:hAnsi="宋体" w:eastAsia="宋体" w:cs="宋体"/>
      <w:color w:val="FF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8" Type="http://schemas.openxmlformats.org/officeDocument/2006/relationships/fontTable" Target="fontTable.xml"/><Relationship Id="rId77" Type="http://schemas.openxmlformats.org/officeDocument/2006/relationships/customXml" Target="../customXml/item2.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jpe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94"/>
    <customShpInfo spid="_x0000_s1095"/>
    <customShpInfo spid="_x0000_s1096"/>
    <customShpInfo spid="_x0000_s1097"/>
    <customShpInfo spid="_x0000_s1098"/>
    <customShpInfo spid="_x0000_s1093"/>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D44949-891A-4646-8033-9096CD26B50B}">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115</Pages>
  <Words>10266</Words>
  <Characters>58520</Characters>
  <Lines>487</Lines>
  <Paragraphs>137</Paragraphs>
  <TotalTime>4</TotalTime>
  <ScaleCrop>false</ScaleCrop>
  <LinksUpToDate>false</LinksUpToDate>
  <CharactersWithSpaces>68649</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2015-05-26T03:21:00Z</dcterms:created>
  <dc:creator>Zh</dc:creator>
  <cp:lastModifiedBy>MAX</cp:lastModifiedBy>
  <dcterms:modified xsi:type="dcterms:W3CDTF">2021-06-04T12:58:00Z</dcterms:modified>
  <cp:revision>1666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ACA4DB079CD84E5D87D301E275053198</vt:lpwstr>
  </property>
</Properties>
</file>